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84B64" w:rsidRPr="00DF6F2F" w:rsidTr="00E234C8">
        <w:tc>
          <w:tcPr>
            <w:tcW w:w="4820" w:type="dxa"/>
          </w:tcPr>
          <w:p w:rsidR="00A84B64" w:rsidRPr="00DF6F2F" w:rsidRDefault="00A84B64" w:rsidP="00A84B64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/>
            <w:r w:rsidRPr="00DF6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ЗАТВЕРДЖЕНО</w:t>
            </w:r>
          </w:p>
          <w:p w:rsidR="00A84B64" w:rsidRPr="00DF6F2F" w:rsidRDefault="00A84B64" w:rsidP="00A84B6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6F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Рішення ХХХХХІІІ сесії Великокучурівської сільської ради VIII скликання </w:t>
            </w:r>
          </w:p>
          <w:p w:rsidR="00A84B64" w:rsidRPr="00DF6F2F" w:rsidRDefault="00A84B64" w:rsidP="00A84B64">
            <w:pPr>
              <w:ind w:right="-2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6F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05 грудня 2025 року № 261-53/2025</w:t>
            </w:r>
          </w:p>
          <w:p w:rsidR="00A84B64" w:rsidRPr="00DF6F2F" w:rsidRDefault="00A84B64" w:rsidP="003F22B8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A84B64" w:rsidRPr="00DF6F2F" w:rsidRDefault="00A84B64" w:rsidP="003F22B8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9AD" w:rsidRPr="00DF6F2F" w:rsidRDefault="00B629AD" w:rsidP="00FC13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F6F2F">
        <w:rPr>
          <w:rFonts w:ascii="Times New Roman" w:hAnsi="Times New Roman" w:cs="Times New Roman"/>
          <w:b/>
          <w:sz w:val="40"/>
          <w:szCs w:val="40"/>
          <w:lang w:val="uk-UA"/>
        </w:rPr>
        <w:t xml:space="preserve">ПРОГРАМА </w:t>
      </w:r>
    </w:p>
    <w:p w:rsidR="00DC171D" w:rsidRPr="00DF6F2F" w:rsidRDefault="00B629AD" w:rsidP="00FC13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F6F2F">
        <w:rPr>
          <w:rFonts w:ascii="Times New Roman" w:hAnsi="Times New Roman" w:cs="Times New Roman"/>
          <w:b/>
          <w:sz w:val="40"/>
          <w:szCs w:val="40"/>
          <w:lang w:val="uk-UA"/>
        </w:rPr>
        <w:t xml:space="preserve">ПІДТРИМКИ ВІЙСЬКОВИХ ЧАСТИН, ВІЙСЬКОВИХ ФОРМУВАНЬ ТА УСТАНОВ ЗБРОЙНИХ СИЛ УКРАЇНИ, НАЦІОНАЛЬНОЇ ГВАРДІЇ УКРАЇНИ, ДЕРЖАВНОЇ ПРИКОРДОННОЇ СЛУЖБИ УКРАЇНИ Й ІНШИХ ФОРМУВАНЬ ЗАЛУЧЕНИХ ДО ЗАБЕЗПЕЧЕННЯ НАЦІОНАЛЬНОЇ БЕЗПЕКИ ТА ОБОРОНИ НА 2025-2027 РОКИ  </w:t>
      </w: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71D" w:rsidRPr="00DF6F2F" w:rsidRDefault="00DC171D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2E4" w:rsidRPr="00DF6F2F" w:rsidRDefault="00D022E4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837" w:rsidRPr="00DF6F2F" w:rsidRDefault="00192837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2E4" w:rsidRPr="00DF6F2F" w:rsidRDefault="00D022E4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9AD" w:rsidRPr="00DF6F2F" w:rsidRDefault="00B629AD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9AD" w:rsidRPr="00DF6F2F" w:rsidRDefault="00B629AD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9AD" w:rsidRPr="00DF6F2F" w:rsidRDefault="00B629AD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9AD" w:rsidRPr="00DF6F2F" w:rsidRDefault="00B629AD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9AD" w:rsidRPr="00DF6F2F" w:rsidRDefault="00B629AD" w:rsidP="00FC1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950" w:rsidRPr="00DF6F2F" w:rsidRDefault="00487950" w:rsidP="00487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1A2" w:rsidRPr="00DF6F2F" w:rsidRDefault="003F22B8" w:rsidP="003F2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с.Великий Кучурів </w:t>
      </w:r>
    </w:p>
    <w:p w:rsidR="00487950" w:rsidRPr="00DF6F2F" w:rsidRDefault="003F22B8" w:rsidP="003F2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F2F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p w:rsidR="00652842" w:rsidRPr="00DF6F2F" w:rsidRDefault="00652842" w:rsidP="004879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2842" w:rsidRPr="00DF6F2F" w:rsidRDefault="00652842" w:rsidP="004879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2842" w:rsidRPr="00DF6F2F" w:rsidRDefault="00652842" w:rsidP="004879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dt>
      <w:sdtPr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val="uk-UA"/>
        </w:rPr>
        <w:id w:val="1484290927"/>
        <w:docPartObj>
          <w:docPartGallery w:val="Table of Contents"/>
          <w:docPartUnique/>
        </w:docPartObj>
      </w:sdtPr>
      <w:sdtEndPr/>
      <w:sdtContent>
        <w:p w:rsidR="00652842" w:rsidRPr="00DF6F2F" w:rsidRDefault="00652842" w:rsidP="00B629AD">
          <w:pPr>
            <w:pStyle w:val="af0"/>
            <w:jc w:val="center"/>
            <w:rPr>
              <w:rFonts w:cs="Times New Roman"/>
              <w:lang w:val="uk-UA"/>
            </w:rPr>
          </w:pPr>
          <w:r w:rsidRPr="00DF6F2F">
            <w:rPr>
              <w:rFonts w:cs="Times New Roman"/>
              <w:lang w:val="uk-UA"/>
            </w:rPr>
            <w:t>ЗМІСТ</w:t>
          </w:r>
        </w:p>
        <w:p w:rsidR="003E6D40" w:rsidRPr="00DF6F2F" w:rsidRDefault="004D1219">
          <w:pPr>
            <w:pStyle w:val="11"/>
            <w:tabs>
              <w:tab w:val="right" w:leader="dot" w:pos="9204"/>
            </w:tabs>
            <w:rPr>
              <w:rFonts w:ascii="Times New Roman" w:eastAsiaTheme="minorEastAsia" w:hAnsi="Times New Roman" w:cs="Times New Roman"/>
              <w:sz w:val="28"/>
              <w:szCs w:val="28"/>
              <w:lang w:val="uk-UA" w:eastAsia="ru-RU"/>
            </w:rPr>
          </w:pPr>
          <w:r w:rsidRPr="00DF6F2F">
            <w:rPr>
              <w:rFonts w:ascii="Times New Roman" w:hAnsi="Times New Roman" w:cs="Times New Roman"/>
              <w:sz w:val="28"/>
              <w:szCs w:val="28"/>
              <w:lang w:val="uk-UA"/>
            </w:rPr>
            <w:fldChar w:fldCharType="begin"/>
          </w:r>
          <w:r w:rsidR="00652842" w:rsidRPr="00DF6F2F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TOC \o "1-3" \h \z \u </w:instrText>
          </w:r>
          <w:r w:rsidRPr="00DF6F2F">
            <w:rPr>
              <w:rFonts w:ascii="Times New Roman" w:hAnsi="Times New Roman" w:cs="Times New Roman"/>
              <w:sz w:val="28"/>
              <w:szCs w:val="28"/>
              <w:lang w:val="uk-UA"/>
            </w:rPr>
            <w:fldChar w:fldCharType="separate"/>
          </w:r>
          <w:hyperlink w:anchor="_Toc216272071" w:history="1">
            <w:r w:rsidR="003E6D40" w:rsidRPr="00DF6F2F">
              <w:rPr>
                <w:rStyle w:val="af1"/>
                <w:rFonts w:ascii="Times New Roman" w:hAnsi="Times New Roman" w:cs="Times New Roman"/>
                <w:sz w:val="28"/>
                <w:szCs w:val="28"/>
                <w:lang w:val="uk-UA"/>
              </w:rPr>
              <w:t>1. Загальна характеристика Програми</w:t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ab/>
            </w:r>
            <w:r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begin"/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instrText xml:space="preserve"> PAGEREF _Toc216272071 \h </w:instrText>
            </w:r>
            <w:r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</w:r>
            <w:r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separate"/>
            </w:r>
            <w:r w:rsidR="00EA226E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>3</w:t>
            </w:r>
            <w:r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:rsidR="003E6D40" w:rsidRPr="00DF6F2F" w:rsidRDefault="00EC3298">
          <w:pPr>
            <w:pStyle w:val="11"/>
            <w:tabs>
              <w:tab w:val="right" w:leader="dot" w:pos="9204"/>
            </w:tabs>
            <w:rPr>
              <w:rFonts w:ascii="Times New Roman" w:eastAsiaTheme="minorEastAsia" w:hAnsi="Times New Roman" w:cs="Times New Roman"/>
              <w:sz w:val="28"/>
              <w:szCs w:val="28"/>
              <w:lang w:val="uk-UA" w:eastAsia="ru-RU"/>
            </w:rPr>
          </w:pPr>
          <w:hyperlink w:anchor="_Toc216272072" w:history="1">
            <w:r w:rsidR="003E6D40" w:rsidRPr="00DF6F2F">
              <w:rPr>
                <w:rStyle w:val="af1"/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 Мета та завдання Програми</w:t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ab/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begin"/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instrText xml:space="preserve"> PAGEREF _Toc216272072 \h </w:instrTex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separate"/>
            </w:r>
            <w:r w:rsidR="00EA226E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>4</w: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:rsidR="003E6D40" w:rsidRPr="00DF6F2F" w:rsidRDefault="00EC3298">
          <w:pPr>
            <w:pStyle w:val="11"/>
            <w:tabs>
              <w:tab w:val="right" w:leader="dot" w:pos="9204"/>
            </w:tabs>
            <w:rPr>
              <w:rFonts w:ascii="Times New Roman" w:eastAsiaTheme="minorEastAsia" w:hAnsi="Times New Roman" w:cs="Times New Roman"/>
              <w:sz w:val="28"/>
              <w:szCs w:val="28"/>
              <w:lang w:val="uk-UA" w:eastAsia="ru-RU"/>
            </w:rPr>
          </w:pPr>
          <w:hyperlink w:anchor="_Toc216272073" w:history="1">
            <w:r w:rsidR="003E6D40" w:rsidRPr="00DF6F2F">
              <w:rPr>
                <w:rStyle w:val="af1"/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 Визначення проблеми на розв’язання якої спрямована Програма</w:t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ab/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begin"/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instrText xml:space="preserve"> PAGEREF _Toc216272073 \h </w:instrTex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separate"/>
            </w:r>
            <w:r w:rsidR="00EA226E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>5</w: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:rsidR="003E6D40" w:rsidRPr="00DF6F2F" w:rsidRDefault="00EC3298">
          <w:pPr>
            <w:pStyle w:val="11"/>
            <w:tabs>
              <w:tab w:val="right" w:leader="dot" w:pos="9204"/>
            </w:tabs>
            <w:rPr>
              <w:rFonts w:ascii="Times New Roman" w:eastAsiaTheme="minorEastAsia" w:hAnsi="Times New Roman" w:cs="Times New Roman"/>
              <w:sz w:val="28"/>
              <w:szCs w:val="28"/>
              <w:lang w:val="uk-UA" w:eastAsia="ru-RU"/>
            </w:rPr>
          </w:pPr>
          <w:hyperlink w:anchor="_Toc216272074" w:history="1">
            <w:r w:rsidR="003E6D40" w:rsidRPr="00DF6F2F">
              <w:rPr>
                <w:rStyle w:val="af1"/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 Очікувані результативні показники Програми</w:t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ab/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begin"/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instrText xml:space="preserve"> PAGEREF _Toc216272074 \h </w:instrTex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separate"/>
            </w:r>
            <w:r w:rsidR="00EA226E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>6</w: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:rsidR="003E6D40" w:rsidRPr="00DF6F2F" w:rsidRDefault="00EC3298">
          <w:pPr>
            <w:pStyle w:val="11"/>
            <w:tabs>
              <w:tab w:val="right" w:leader="dot" w:pos="9204"/>
            </w:tabs>
            <w:rPr>
              <w:rFonts w:ascii="Times New Roman" w:eastAsiaTheme="minorEastAsia" w:hAnsi="Times New Roman" w:cs="Times New Roman"/>
              <w:sz w:val="28"/>
              <w:szCs w:val="28"/>
              <w:lang w:val="uk-UA" w:eastAsia="ru-RU"/>
            </w:rPr>
          </w:pPr>
          <w:hyperlink w:anchor="_Toc216272075" w:history="1">
            <w:r w:rsidR="003E6D40" w:rsidRPr="00DF6F2F">
              <w:rPr>
                <w:rStyle w:val="af1"/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 Ресурсне забезпечення та джерела фінансування Програми</w:t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ab/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begin"/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instrText xml:space="preserve"> PAGEREF _Toc216272075 \h </w:instrTex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separate"/>
            </w:r>
            <w:r w:rsidR="00EA226E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>6</w: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:rsidR="003E6D40" w:rsidRPr="00DF6F2F" w:rsidRDefault="00EC3298">
          <w:pPr>
            <w:pStyle w:val="11"/>
            <w:tabs>
              <w:tab w:val="right" w:leader="dot" w:pos="9204"/>
            </w:tabs>
            <w:rPr>
              <w:rFonts w:ascii="Times New Roman" w:eastAsiaTheme="minorEastAsia" w:hAnsi="Times New Roman" w:cs="Times New Roman"/>
              <w:sz w:val="28"/>
              <w:szCs w:val="28"/>
              <w:lang w:val="uk-UA" w:eastAsia="ru-RU"/>
            </w:rPr>
          </w:pPr>
          <w:hyperlink w:anchor="_Toc216272076" w:history="1">
            <w:r w:rsidR="003E6D40" w:rsidRPr="00DF6F2F">
              <w:rPr>
                <w:rStyle w:val="af1"/>
                <w:rFonts w:ascii="Times New Roman" w:hAnsi="Times New Roman" w:cs="Times New Roman"/>
                <w:sz w:val="28"/>
                <w:szCs w:val="28"/>
                <w:lang w:val="uk-UA"/>
              </w:rPr>
              <w:t>6. Напрями діяльності та заходи Програми</w:t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ab/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begin"/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instrText xml:space="preserve"> PAGEREF _Toc216272076 \h </w:instrTex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separate"/>
            </w:r>
            <w:r w:rsidR="00EA226E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>8</w: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:rsidR="003E6D40" w:rsidRPr="00DF6F2F" w:rsidRDefault="00EC3298">
          <w:pPr>
            <w:pStyle w:val="11"/>
            <w:tabs>
              <w:tab w:val="right" w:leader="dot" w:pos="9204"/>
            </w:tabs>
            <w:rPr>
              <w:rFonts w:ascii="Times New Roman" w:eastAsiaTheme="minorEastAsia" w:hAnsi="Times New Roman" w:cs="Times New Roman"/>
              <w:sz w:val="28"/>
              <w:szCs w:val="28"/>
              <w:lang w:val="uk-UA" w:eastAsia="ru-RU"/>
            </w:rPr>
          </w:pPr>
          <w:hyperlink w:anchor="_Toc216272077" w:history="1">
            <w:r w:rsidR="003E6D40" w:rsidRPr="00DF6F2F">
              <w:rPr>
                <w:rStyle w:val="af1"/>
                <w:rFonts w:ascii="Times New Roman" w:hAnsi="Times New Roman" w:cs="Times New Roman"/>
                <w:sz w:val="28"/>
                <w:szCs w:val="28"/>
                <w:lang w:val="uk-UA"/>
              </w:rPr>
              <w:t>7. Система управління та контролю за ходом виконання Програми</w:t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ab/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begin"/>
            </w:r>
            <w:r w:rsidR="003E6D40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instrText xml:space="preserve"> PAGEREF _Toc216272077 \h </w:instrTex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separate"/>
            </w:r>
            <w:r w:rsidR="00EA226E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t>12</w:t>
            </w:r>
            <w:r w:rsidR="004D1219" w:rsidRPr="00DF6F2F">
              <w:rPr>
                <w:rFonts w:ascii="Times New Roman" w:hAnsi="Times New Roman" w:cs="Times New Roman"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:rsidR="00652842" w:rsidRPr="00DF6F2F" w:rsidRDefault="004D1219" w:rsidP="003E6D40">
          <w:pPr>
            <w:rPr>
              <w:lang w:val="uk-UA"/>
            </w:rPr>
          </w:pPr>
          <w:r w:rsidRPr="00DF6F2F">
            <w:rPr>
              <w:rFonts w:ascii="Times New Roman" w:hAnsi="Times New Roman" w:cs="Times New Roman"/>
              <w:sz w:val="28"/>
              <w:szCs w:val="28"/>
              <w:lang w:val="uk-UA"/>
            </w:rPr>
            <w:fldChar w:fldCharType="end"/>
          </w:r>
        </w:p>
      </w:sdtContent>
    </w:sdt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242" w:rsidRPr="00DF6F2F" w:rsidRDefault="0005624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DF6F2F" w:rsidRDefault="00A017B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6883" w:rsidRPr="00DF6F2F" w:rsidRDefault="000E6883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842" w:rsidRPr="00DF6F2F" w:rsidRDefault="0065284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842" w:rsidRPr="00DF6F2F" w:rsidRDefault="00652842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D23" w:rsidRPr="00DF6F2F" w:rsidRDefault="00890D23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842" w:rsidRPr="00DF6F2F" w:rsidRDefault="006528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6F2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017B2" w:rsidRPr="00DF6F2F" w:rsidRDefault="00A017B2" w:rsidP="00BD1274">
      <w:pPr>
        <w:pStyle w:val="1"/>
        <w:numPr>
          <w:ilvl w:val="0"/>
          <w:numId w:val="7"/>
        </w:numPr>
        <w:jc w:val="center"/>
        <w:rPr>
          <w:lang w:val="uk-UA"/>
        </w:rPr>
      </w:pPr>
      <w:bookmarkStart w:id="1" w:name="_Toc215754344"/>
      <w:bookmarkStart w:id="2" w:name="_Toc216272071"/>
      <w:r w:rsidRPr="00DF6F2F">
        <w:rPr>
          <w:lang w:val="uk-UA"/>
        </w:rPr>
        <w:lastRenderedPageBreak/>
        <w:t>Загальна характеристика Програми</w:t>
      </w:r>
      <w:bookmarkEnd w:id="1"/>
      <w:bookmarkEnd w:id="2"/>
    </w:p>
    <w:p w:rsidR="00BD1274" w:rsidRPr="00DF6F2F" w:rsidRDefault="00BD1274" w:rsidP="00BD1274">
      <w:pPr>
        <w:rPr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72"/>
        <w:gridCol w:w="4550"/>
      </w:tblGrid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A017B2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Ініціатор розроблення </w:t>
            </w:r>
            <w:r w:rsidR="00BD1274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A017B2" w:rsidRPr="00DF6F2F" w:rsidRDefault="00E81821" w:rsidP="00E81821">
            <w:pPr>
              <w:pStyle w:val="a5"/>
              <w:contextualSpacing/>
              <w:jc w:val="both"/>
              <w:rPr>
                <w:kern w:val="24"/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Великокучурівська сільська рада</w:t>
            </w:r>
          </w:p>
        </w:tc>
      </w:tr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DC171D" w:rsidP="00536EC1">
            <w:pPr>
              <w:pStyle w:val="a5"/>
              <w:spacing w:before="0" w:beforeAutospacing="0" w:after="0" w:afterAutospacing="0"/>
              <w:contextualSpacing/>
              <w:rPr>
                <w:kern w:val="24"/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Дата, номер і назва законодавчого</w:t>
            </w:r>
            <w:r w:rsidR="00A017B2" w:rsidRPr="00DF6F2F">
              <w:rPr>
                <w:kern w:val="24"/>
                <w:sz w:val="28"/>
                <w:szCs w:val="28"/>
                <w:lang w:val="uk-UA"/>
              </w:rPr>
              <w:t xml:space="preserve"> документу про затвердження </w:t>
            </w:r>
            <w:r w:rsidR="00BC32E6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D022E4" w:rsidRPr="00DF6F2F" w:rsidRDefault="00D022E4" w:rsidP="00BC64BD">
            <w:pPr>
              <w:pStyle w:val="a5"/>
              <w:spacing w:after="0"/>
              <w:contextualSpacing/>
              <w:jc w:val="both"/>
              <w:rPr>
                <w:kern w:val="24"/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Бюджетний кодекс України,</w:t>
            </w:r>
          </w:p>
          <w:p w:rsidR="00D022E4" w:rsidRPr="00DF6F2F" w:rsidRDefault="00D022E4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kern w:val="24"/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Закони України: «Про місцеве самоврядування в Україні», «Про військовий обов’язок і військову службу», «Про оборону України», «Про правовий режим воєнного стану»</w:t>
            </w:r>
            <w:r w:rsidR="007B4DC1" w:rsidRPr="00DF6F2F">
              <w:rPr>
                <w:kern w:val="24"/>
                <w:sz w:val="28"/>
                <w:szCs w:val="28"/>
                <w:lang w:val="uk-UA"/>
              </w:rPr>
              <w:t xml:space="preserve"> «Про Національну гвардію України»</w:t>
            </w:r>
          </w:p>
          <w:p w:rsidR="00D12424" w:rsidRPr="00DF6F2F" w:rsidRDefault="000D3D12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kern w:val="24"/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 «Про основи національного спротиву», Указ Президента України від 24.02.2022 року № 64/2022 «Про ведення воєнного стану в Україні» (зі змінами)</w:t>
            </w:r>
          </w:p>
        </w:tc>
      </w:tr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A017B2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Розробник </w:t>
            </w:r>
            <w:r w:rsidR="00BC32E6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A017B2" w:rsidRPr="00DF6F2F" w:rsidRDefault="007D5E9B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Фінвідділ Великокучурівської сільської ради</w:t>
            </w:r>
          </w:p>
        </w:tc>
      </w:tr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A017B2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CB19E7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A017B2" w:rsidRPr="00DF6F2F" w:rsidRDefault="007D5E9B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Фінвідділ Великокучурівської сільської ради</w:t>
            </w:r>
          </w:p>
        </w:tc>
      </w:tr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A017B2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Учасники </w:t>
            </w:r>
            <w:r w:rsidR="00CB19E7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A017B2" w:rsidRPr="00DF6F2F" w:rsidRDefault="003F22B8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Великокучурівська сільська рада</w:t>
            </w:r>
            <w:r w:rsidR="000D3D12" w:rsidRPr="00DF6F2F">
              <w:rPr>
                <w:kern w:val="24"/>
                <w:sz w:val="28"/>
                <w:szCs w:val="28"/>
                <w:lang w:val="uk-UA"/>
              </w:rPr>
              <w:t>,</w:t>
            </w:r>
            <w:r w:rsidRPr="00DF6F2F">
              <w:rPr>
                <w:kern w:val="24"/>
                <w:sz w:val="28"/>
                <w:szCs w:val="28"/>
                <w:lang w:val="uk-UA"/>
              </w:rPr>
              <w:t xml:space="preserve"> Фінвідділ Великокучурівської сільської ради,</w:t>
            </w:r>
            <w:r w:rsidR="000D3D12" w:rsidRPr="00DF6F2F">
              <w:rPr>
                <w:kern w:val="24"/>
                <w:sz w:val="28"/>
                <w:szCs w:val="28"/>
                <w:lang w:val="uk-UA"/>
              </w:rPr>
              <w:t xml:space="preserve"> </w:t>
            </w:r>
            <w:r w:rsidR="00E3789E" w:rsidRPr="00DF6F2F">
              <w:rPr>
                <w:kern w:val="24"/>
                <w:sz w:val="28"/>
                <w:szCs w:val="28"/>
                <w:lang w:val="uk-UA"/>
              </w:rPr>
              <w:t>військові частини та формування Збройних Сил України</w:t>
            </w:r>
            <w:r w:rsidR="002479EB" w:rsidRPr="00DF6F2F">
              <w:rPr>
                <w:kern w:val="24"/>
                <w:sz w:val="28"/>
                <w:szCs w:val="28"/>
                <w:lang w:val="uk-UA"/>
              </w:rPr>
              <w:t>, Національна гвардія Україн</w:t>
            </w:r>
            <w:r w:rsidR="00661CD0" w:rsidRPr="00DF6F2F">
              <w:rPr>
                <w:kern w:val="24"/>
                <w:sz w:val="28"/>
                <w:szCs w:val="28"/>
                <w:lang w:val="uk-UA"/>
              </w:rPr>
              <w:t>и, Державна прикордонна служба У</w:t>
            </w:r>
            <w:r w:rsidR="002479EB" w:rsidRPr="00DF6F2F">
              <w:rPr>
                <w:kern w:val="24"/>
                <w:sz w:val="28"/>
                <w:szCs w:val="28"/>
                <w:lang w:val="uk-UA"/>
              </w:rPr>
              <w:t>країни</w:t>
            </w:r>
            <w:r w:rsidRPr="00DF6F2F">
              <w:rPr>
                <w:kern w:val="24"/>
                <w:sz w:val="28"/>
                <w:szCs w:val="28"/>
                <w:lang w:val="uk-UA"/>
              </w:rPr>
              <w:t xml:space="preserve">, </w:t>
            </w:r>
            <w:r w:rsidR="007D5E9B" w:rsidRPr="00DF6F2F">
              <w:rPr>
                <w:kern w:val="24"/>
                <w:sz w:val="28"/>
                <w:szCs w:val="28"/>
                <w:lang w:val="uk-UA"/>
              </w:rPr>
              <w:t>Національна поліція України</w:t>
            </w:r>
          </w:p>
        </w:tc>
      </w:tr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A017B2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Термін реалізації </w:t>
            </w:r>
            <w:r w:rsidR="00CB19E7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A017B2" w:rsidRPr="00DF6F2F" w:rsidRDefault="0030662A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2025-2027 роки</w:t>
            </w:r>
          </w:p>
        </w:tc>
      </w:tr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A017B2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Етапи виконання </w:t>
            </w:r>
            <w:r w:rsidR="001A2947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A017B2" w:rsidRPr="00DF6F2F" w:rsidRDefault="003F22B8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2025, 2026, 2027</w:t>
            </w:r>
            <w:r w:rsidR="00A017B2" w:rsidRPr="00DF6F2F">
              <w:rPr>
                <w:kern w:val="24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A017B2" w:rsidRPr="00DF6F2F" w:rsidTr="00F95BF9">
        <w:trPr>
          <w:jc w:val="center"/>
        </w:trPr>
        <w:tc>
          <w:tcPr>
            <w:tcW w:w="4772" w:type="dxa"/>
          </w:tcPr>
          <w:p w:rsidR="00A017B2" w:rsidRPr="00DF6F2F" w:rsidRDefault="00A017B2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 xml:space="preserve">Перелік місцевих бюджетів, які приймають участь у виконанні </w:t>
            </w:r>
            <w:r w:rsidR="001A2947" w:rsidRPr="00DF6F2F">
              <w:rPr>
                <w:kern w:val="24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50" w:type="dxa"/>
            <w:vAlign w:val="center"/>
          </w:tcPr>
          <w:p w:rsidR="00A017B2" w:rsidRPr="00DF6F2F" w:rsidRDefault="00C15EBE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б</w:t>
            </w:r>
            <w:r w:rsidR="00A017B2" w:rsidRPr="00DF6F2F">
              <w:rPr>
                <w:kern w:val="24"/>
                <w:sz w:val="28"/>
                <w:szCs w:val="28"/>
                <w:lang w:val="uk-UA"/>
              </w:rPr>
              <w:t>юджет територіальної громади</w:t>
            </w:r>
          </w:p>
        </w:tc>
      </w:tr>
      <w:tr w:rsidR="00AC2668" w:rsidRPr="00DF6F2F" w:rsidTr="00F95BF9">
        <w:trPr>
          <w:jc w:val="center"/>
        </w:trPr>
        <w:tc>
          <w:tcPr>
            <w:tcW w:w="4772" w:type="dxa"/>
          </w:tcPr>
          <w:p w:rsidR="00AC2668" w:rsidRPr="00DF6F2F" w:rsidRDefault="00AC2668" w:rsidP="00536EC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Загальний обсяг фінансових ресурсів, необхідних для реалізаці</w:t>
            </w:r>
            <w:r w:rsidR="00E3789E" w:rsidRPr="00DF6F2F">
              <w:rPr>
                <w:kern w:val="24"/>
                <w:sz w:val="28"/>
                <w:szCs w:val="28"/>
                <w:lang w:val="uk-UA"/>
              </w:rPr>
              <w:t>ї Програми, всього</w:t>
            </w:r>
            <w:r w:rsidRPr="00DF6F2F">
              <w:rPr>
                <w:kern w:val="24"/>
                <w:sz w:val="28"/>
                <w:szCs w:val="28"/>
                <w:lang w:val="uk-UA"/>
              </w:rPr>
              <w:t>:</w:t>
            </w:r>
          </w:p>
        </w:tc>
        <w:tc>
          <w:tcPr>
            <w:tcW w:w="4550" w:type="dxa"/>
            <w:vAlign w:val="center"/>
          </w:tcPr>
          <w:p w:rsidR="00AC2668" w:rsidRPr="00DF6F2F" w:rsidRDefault="003F22B8" w:rsidP="00BC64B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F6F2F">
              <w:rPr>
                <w:kern w:val="24"/>
                <w:sz w:val="28"/>
                <w:szCs w:val="28"/>
                <w:lang w:val="uk-UA"/>
              </w:rPr>
              <w:t>6 </w:t>
            </w:r>
            <w:r w:rsidR="00FD1447" w:rsidRPr="00DF6F2F">
              <w:rPr>
                <w:kern w:val="24"/>
                <w:sz w:val="28"/>
                <w:szCs w:val="28"/>
                <w:lang w:val="uk-UA"/>
              </w:rPr>
              <w:t>000</w:t>
            </w:r>
            <w:r w:rsidR="00044B27" w:rsidRPr="00DF6F2F">
              <w:rPr>
                <w:kern w:val="24"/>
                <w:sz w:val="28"/>
                <w:szCs w:val="28"/>
                <w:lang w:val="uk-UA"/>
              </w:rPr>
              <w:t>,0</w:t>
            </w:r>
            <w:r w:rsidR="00AC2668" w:rsidRPr="00DF6F2F">
              <w:rPr>
                <w:kern w:val="24"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91370E" w:rsidRPr="00DF6F2F" w:rsidRDefault="0091370E" w:rsidP="000D3D1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10"/>
          <w:szCs w:val="10"/>
          <w:lang w:val="uk-UA" w:eastAsia="zh-CN"/>
        </w:rPr>
      </w:pPr>
    </w:p>
    <w:p w:rsidR="009B5BB1" w:rsidRPr="00DF6F2F" w:rsidRDefault="009B5BB1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2D77FF" w:rsidRPr="00DF6F2F" w:rsidRDefault="00112F30" w:rsidP="009B5BB1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Програма 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підтримки військових частин, військових формувань та установ Збро</w:t>
      </w:r>
      <w:r w:rsidR="007B4D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йних Сил України, Національної г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вардії України</w:t>
      </w:r>
      <w:r w:rsidR="002C45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Державної прикордонної служби України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й інших формувань залучених до забезпечення націона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льної безпеки та оборони на 2025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-202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7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роки (далі – Програма), розроблена відповідно до </w:t>
      </w:r>
      <w:r w:rsidR="007B4D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Бюджетного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кодекс</w:t>
      </w:r>
      <w:r w:rsidR="007B4D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України, законів України: «Про місцеве самоврядування в Україні», «Про військовий 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lastRenderedPageBreak/>
        <w:t>обов’язок і військову службу», «Про оборону України», «Про правовий режим воєнного стану»</w:t>
      </w:r>
      <w:r w:rsidR="007B4D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="009B5B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7B4D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«Про Національну гвардію України», 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«Про основи національного спротиву», Указ</w:t>
      </w:r>
      <w:r w:rsidR="007B4D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Президента України від 24.02.2022 року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9B5B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              </w:t>
      </w:r>
      <w:r w:rsidR="00E3789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№ 64/2022 «Про ведення воєнного стану в Україні» (зі змінами)</w:t>
      </w:r>
      <w:r w:rsidR="007B4D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. </w:t>
      </w:r>
    </w:p>
    <w:p w:rsidR="00716218" w:rsidRPr="00DF6F2F" w:rsidRDefault="007B4DC1" w:rsidP="009B5BB1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В Програмі передбачено комплекс заходів щодо </w:t>
      </w:r>
      <w:r w:rsidR="002247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покращення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матеріально-технічного забезпечення</w:t>
      </w:r>
      <w:r w:rsidR="002247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та інших потреб щодо підтримки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Збройних Сил України, Національної гвардії України,</w:t>
      </w:r>
      <w:r w:rsidR="002247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Державної прикордонної служби України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та інших військових формувань з</w:t>
      </w:r>
      <w:r w:rsidR="002247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а їх зверненнями для підтримки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боєготовності та ефективного виконання завдань</w:t>
      </w:r>
      <w:r w:rsidR="002247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щодо захисту державного суверенітету і незалежності держави Україна.</w:t>
      </w:r>
      <w:r w:rsidR="002D77FF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Програма спрямована на реалізацію державної політики у сфері захисту незалежності та територіальної цілісності держави з метою допомоги військовим частинам Збройних Сил України у воєнний період. </w:t>
      </w:r>
    </w:p>
    <w:p w:rsidR="00E3789E" w:rsidRPr="00DF6F2F" w:rsidRDefault="002D77FF" w:rsidP="009B5BB1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</w:t>
      </w:r>
    </w:p>
    <w:p w:rsidR="00716218" w:rsidRPr="00DF6F2F" w:rsidRDefault="00D12424" w:rsidP="000A5662">
      <w:pPr>
        <w:pStyle w:val="1"/>
        <w:numPr>
          <w:ilvl w:val="0"/>
          <w:numId w:val="7"/>
        </w:numPr>
        <w:tabs>
          <w:tab w:val="left" w:pos="284"/>
        </w:tabs>
        <w:spacing w:before="0"/>
        <w:ind w:left="0" w:firstLine="0"/>
        <w:jc w:val="center"/>
        <w:rPr>
          <w:rFonts w:eastAsia="Times New Roman"/>
          <w:lang w:val="uk-UA" w:eastAsia="zh-CN"/>
        </w:rPr>
      </w:pPr>
      <w:bookmarkStart w:id="3" w:name="_Toc216272072"/>
      <w:r w:rsidRPr="00DF6F2F">
        <w:rPr>
          <w:rFonts w:eastAsia="Times New Roman"/>
          <w:lang w:val="uk-UA" w:eastAsia="zh-CN"/>
        </w:rPr>
        <w:t>Мета та завдання Програми</w:t>
      </w:r>
      <w:bookmarkEnd w:id="3"/>
    </w:p>
    <w:p w:rsidR="00716218" w:rsidRPr="00DF6F2F" w:rsidRDefault="00716218" w:rsidP="00716218">
      <w:pPr>
        <w:spacing w:after="0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:rsidR="00087E71" w:rsidRPr="00DF6F2F" w:rsidRDefault="00193089" w:rsidP="009B3E3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Метою Програми є</w:t>
      </w:r>
      <w:r w:rsidR="002D77FF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забезпечення належних умов для якісного виконання завдань та підтримки високого рівня боєготовності військових частин</w:t>
      </w:r>
      <w:r w:rsidR="00C87959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="0071621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087E7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військових формувань та установ Збройних Сил України,</w:t>
      </w:r>
      <w:r w:rsidR="002247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Національної гвардії України, Д</w:t>
      </w:r>
      <w:r w:rsidR="00087E7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ержавної прикордонної служби України й інших формувань залучених до забезпечення національної безпеки та оборони України в умовах особливого правового режиму воєнного стану.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</w:t>
      </w:r>
      <w:r w:rsidR="00044B2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С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ил України,</w:t>
      </w:r>
      <w:r w:rsidR="0071621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2C45C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Національної гвардії України, Державної прикордонної служби України</w:t>
      </w:r>
      <w:r w:rsidR="0021093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й інших військових формувань залучених до забезпечення національної безпеки та оборони,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а саме: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підготовка до оборони в воєнний та мирний час;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підвищення обороноздатності та мобілізаційної готовності держави;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налагодження ефективного цивільно-військового співробітництва;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створення умов для повноцінної підготовки до виконання поставлених завдань перед військовими частинами;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підтримання правового режиму воєнного стану, посилення охорони громадського порядку та безпеки громадян;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матеріально-технічне забезпечення мобілізаційної підготовки та заходів з мобілізації.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Основними завданнями Програми є: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сприяння обороноздатності та мобілізаційній готовності держави в особі військових частин Збройних Сил України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Національної гвардії України, Державної прикордонної служби України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;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надання допомоги  в розв’язанні поточних військових та  соціально</w:t>
      </w:r>
      <w:r w:rsidR="00E242B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побутови</w:t>
      </w:r>
      <w:r w:rsidR="00044B2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х проблем підрозділів Збройних С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ил України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Національної гвардії України, Державної прикордонної служби України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;</w:t>
      </w:r>
    </w:p>
    <w:p w:rsidR="00087E71" w:rsidRPr="00DF6F2F" w:rsidRDefault="00087E7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lastRenderedPageBreak/>
        <w:t>-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ab/>
        <w:t>налагодження ефективного військово-цивільного  співробітництва в питаннях посилення обороноздатності України перед військовою</w:t>
      </w:r>
      <w:r w:rsidR="002247B1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агресією російської федерації;</w:t>
      </w:r>
    </w:p>
    <w:p w:rsidR="002247B1" w:rsidRPr="00DF6F2F" w:rsidRDefault="002247B1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- покращення матеріально-технічного забезпечення військових частин, військових формувань та установ Збройних Сил України, Національної гвардії України, Державної прикордонної служби України й інших військових формувань. </w:t>
      </w:r>
    </w:p>
    <w:p w:rsidR="00E242B7" w:rsidRPr="00DF6F2F" w:rsidRDefault="00E242B7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E242B7" w:rsidRPr="00DF6F2F" w:rsidRDefault="00701DB7" w:rsidP="009B3E38">
      <w:pPr>
        <w:pStyle w:val="1"/>
        <w:spacing w:before="0" w:line="240" w:lineRule="auto"/>
        <w:jc w:val="center"/>
        <w:rPr>
          <w:rFonts w:eastAsia="Times New Roman"/>
          <w:lang w:val="uk-UA" w:eastAsia="zh-CN"/>
        </w:rPr>
      </w:pPr>
      <w:bookmarkStart w:id="4" w:name="_Toc216272073"/>
      <w:r w:rsidRPr="00DF6F2F">
        <w:rPr>
          <w:rFonts w:eastAsia="Times New Roman"/>
          <w:lang w:val="uk-UA" w:eastAsia="zh-CN"/>
        </w:rPr>
        <w:t>3. Визначення проблеми</w:t>
      </w:r>
      <w:r w:rsidR="001D1F71" w:rsidRPr="00DF6F2F">
        <w:rPr>
          <w:rFonts w:eastAsia="Times New Roman"/>
          <w:lang w:val="uk-UA" w:eastAsia="zh-CN"/>
        </w:rPr>
        <w:t>,</w:t>
      </w:r>
      <w:r w:rsidRPr="00DF6F2F">
        <w:rPr>
          <w:rFonts w:eastAsia="Times New Roman"/>
          <w:lang w:val="uk-UA" w:eastAsia="zh-CN"/>
        </w:rPr>
        <w:t xml:space="preserve"> на розв’язання якої спрямована Програма</w:t>
      </w:r>
      <w:bookmarkEnd w:id="4"/>
    </w:p>
    <w:p w:rsidR="00E242B7" w:rsidRPr="00DF6F2F" w:rsidRDefault="00E242B7" w:rsidP="009B3E3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:rsidR="001B2A37" w:rsidRPr="00DF6F2F" w:rsidRDefault="001B2A37" w:rsidP="009B3E3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Під час збройної агресії російської федерації проти України, важливим стає питання створення сучасних боєздатних, </w:t>
      </w:r>
      <w:proofErr w:type="spellStart"/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професійно</w:t>
      </w:r>
      <w:proofErr w:type="spellEnd"/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підготовлених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військових формувань</w:t>
      </w:r>
      <w:r w:rsidR="00D03966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Збройних Сил України, Національної гвардії України</w:t>
      </w:r>
      <w:r w:rsidR="003664D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Д</w:t>
      </w:r>
      <w:r w:rsidR="004607B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ержавної прикордонної служби України</w:t>
      </w:r>
      <w:r w:rsidR="00D03966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та інших </w:t>
      </w:r>
      <w:r w:rsidR="0021093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військових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підрозділів, які б за своєю структурою, чисельністю і забезпеченістю відповідали покладеним на них завданням та стандартам збройних сил провідних країн світу. Основою цього є належне матеріально-технічне забезпечення військових підрозділів щодо вик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онання військового обов’язку із захисту держави.</w:t>
      </w:r>
    </w:p>
    <w:p w:rsidR="001B2A37" w:rsidRPr="00DF6F2F" w:rsidRDefault="004609F8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 зв’язку зі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значними витратами Д</w:t>
      </w:r>
      <w:r w:rsidR="001B2A3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ержавного бюджету України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="004C38F2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проблемами  наповнення його дохі</w:t>
      </w:r>
      <w:r w:rsidR="001B2A3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дної частини через проведення бойових дій на території України, виникають поточні, але нагальні потреби забезпечення 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військових формувань </w:t>
      </w:r>
      <w:r w:rsidR="001B2A3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Збройних Сил України, 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Національної г</w:t>
      </w:r>
      <w:r w:rsidR="001B2A3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вардії України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="004C38F2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Державно</w:t>
      </w:r>
      <w:r w:rsidR="0021093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ї прикордонної служби України й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інших</w:t>
      </w:r>
      <w:r w:rsidR="00C56BA2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військових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підрозділів</w:t>
      </w:r>
      <w:r w:rsidR="001B2A3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окремими матеріалами, військовим спорядженням, амуніцією, технічними засобами, гігієнічними засобами, паливо-мастильними матеріалами тощо. На вирішення названої вище проблеми, виникла потреба у прийнятті даної Програм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и та фінансуванні її заходів з</w:t>
      </w:r>
      <w:r w:rsidR="00336974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б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юджету 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Великокучурівської сільської 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територіальної громади. </w:t>
      </w:r>
    </w:p>
    <w:p w:rsidR="001B2A37" w:rsidRPr="00DF6F2F" w:rsidRDefault="004609F8" w:rsidP="009B3E38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Існує гостра потреба</w:t>
      </w:r>
      <w:r w:rsidR="001B2A3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удосконалення теоретичної і практичної підготовки особового складу 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військових формувань Збройних Сил України, Національної г</w:t>
      </w:r>
      <w:r w:rsidR="001B2A37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вардії України, 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Д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ержавної прикордонної служби України</w:t>
      </w:r>
      <w:r w:rsidR="0021093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й інших формувань залучених до забезпечення національної безпеки та оборони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направлених на:</w:t>
      </w:r>
    </w:p>
    <w:p w:rsidR="00767C4A" w:rsidRPr="00DF6F2F" w:rsidRDefault="001B2A37" w:rsidP="009B3E3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збройної агресії проти України;</w:t>
      </w:r>
    </w:p>
    <w:p w:rsidR="00767C4A" w:rsidRPr="00DF6F2F" w:rsidRDefault="001B2A37" w:rsidP="009B3E3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участь у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ліквідації наслідків ведення воєнних (бойових) дій та у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захисті населення, територій, навколишнього природного середовища та 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майна від надзвичайних ситуацій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;</w:t>
      </w:r>
    </w:p>
    <w:p w:rsidR="00767C4A" w:rsidRPr="00DF6F2F" w:rsidRDefault="001B2A37" w:rsidP="009B3E3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участь у підготовці громадян України до національного спротиву;</w:t>
      </w:r>
    </w:p>
    <w:p w:rsidR="00767C4A" w:rsidRPr="00DF6F2F" w:rsidRDefault="001B2A37" w:rsidP="009B3E3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lastRenderedPageBreak/>
        <w:t>участь у забезпеченні умов для безпечного функціонування органів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державної влади, інших державних органів, органів місцевого самоврядування</w:t>
      </w:r>
      <w:r w:rsidR="003F22B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т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а органів управління військами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;</w:t>
      </w:r>
    </w:p>
    <w:p w:rsidR="00767C4A" w:rsidRPr="00DF6F2F" w:rsidRDefault="001B2A37" w:rsidP="009B3E3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участь в охороні та обороні важливих об’єктів і комунікацій, інших критично важливих об’єктів інфраструктури, визначених Кабінетом Міністрів </w:t>
      </w:r>
      <w:r w:rsidR="00767C4A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України, та об’єктів обласного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міського значення, порушення функціонування та виведення з ладу яких становлять загрозу для життєдіяльності населення;</w:t>
      </w:r>
    </w:p>
    <w:p w:rsidR="004607B0" w:rsidRPr="00DF6F2F" w:rsidRDefault="001B2A37" w:rsidP="009B3E3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військово-патріот</w:t>
      </w:r>
      <w:r w:rsidR="004607B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ичне виховання громадян України.</w:t>
      </w:r>
    </w:p>
    <w:p w:rsidR="004609F8" w:rsidRPr="00DF6F2F" w:rsidRDefault="004609F8" w:rsidP="009B3E3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Програма сприятиме 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розв'язанню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питань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пов’язаних із задоволенням військових та соціально-побутових потреб військовослужбовців та буде здійснюватися шляхом надання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субвенції з </w:t>
      </w:r>
      <w:r w:rsidR="001C44A4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сільського 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бюджету Д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ержавному бюджету для допомоги військовим частинам та формуванням 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Збройних Сил України</w:t>
      </w:r>
      <w:r w:rsidR="00D03966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Національної гвардії України, Державної прикордонної служби України</w:t>
      </w:r>
      <w:r w:rsidR="00C56BA2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й іншим військовим формуванням</w:t>
      </w: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.</w:t>
      </w:r>
    </w:p>
    <w:p w:rsidR="005729F7" w:rsidRPr="00DF6F2F" w:rsidRDefault="00387DFD" w:rsidP="001D1F71">
      <w:pPr>
        <w:pStyle w:val="1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eastAsia="Times New Roman"/>
          <w:lang w:val="uk-UA" w:eastAsia="zh-CN"/>
        </w:rPr>
      </w:pPr>
      <w:bookmarkStart w:id="5" w:name="_Toc216272074"/>
      <w:r w:rsidRPr="00DF6F2F">
        <w:rPr>
          <w:rFonts w:eastAsia="Times New Roman"/>
          <w:lang w:val="uk-UA" w:eastAsia="zh-CN"/>
        </w:rPr>
        <w:t>О</w:t>
      </w:r>
      <w:r w:rsidR="00970927" w:rsidRPr="00DF6F2F">
        <w:rPr>
          <w:rFonts w:eastAsia="Times New Roman"/>
          <w:lang w:val="uk-UA" w:eastAsia="zh-CN"/>
        </w:rPr>
        <w:t>чікувані результативні показники Програми</w:t>
      </w:r>
      <w:bookmarkEnd w:id="5"/>
    </w:p>
    <w:p w:rsidR="00254E5F" w:rsidRPr="00DF6F2F" w:rsidRDefault="00254E5F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val="uk-UA" w:eastAsia="zh-CN"/>
        </w:rPr>
      </w:pPr>
    </w:p>
    <w:p w:rsidR="004607B0" w:rsidRPr="00DF6F2F" w:rsidRDefault="00970927" w:rsidP="005C435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Реалізація Програми </w:t>
      </w:r>
      <w:r w:rsidR="004607B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сприятиме </w:t>
      </w:r>
      <w:r w:rsidR="004609F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позитивному розв</w:t>
      </w:r>
      <w:r w:rsidR="0084398F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’</w:t>
      </w:r>
      <w:r w:rsidR="004609F8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язанню питань</w:t>
      </w:r>
      <w:r w:rsidR="00D03966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4607B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за тими напрямами, де спос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терігається дефіцит ресурсів з Д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ержавного б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юджету, та допоможе</w:t>
      </w:r>
      <w:r w:rsidR="00D03966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 підтримці</w:t>
      </w:r>
      <w:r w:rsidR="0084398F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бойової</w:t>
      </w:r>
      <w:r w:rsidR="004607B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готовнос</w:t>
      </w:r>
      <w:r w:rsidR="008F2DE5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ті  військових частин Збройних </w:t>
      </w:r>
      <w:r w:rsidR="004607B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Сил України, </w:t>
      </w:r>
      <w:r w:rsidR="0021093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Національної гвардії України, Державної прикордонної служби України й інших</w:t>
      </w:r>
      <w:r w:rsidR="00C56BA2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військових</w:t>
      </w:r>
      <w:r w:rsidR="0021093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формувань залучених до забезпечення національної безпеки та оборони</w:t>
      </w:r>
      <w:r w:rsidR="00C56BA2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, що гарантує протистояння </w:t>
      </w:r>
      <w:r w:rsidR="00C15EBE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загрозам національної безпеки</w:t>
      </w:r>
      <w:r w:rsidR="004607B0" w:rsidRPr="00DF6F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держави. </w:t>
      </w:r>
    </w:p>
    <w:p w:rsidR="005C4354" w:rsidRPr="00DF6F2F" w:rsidRDefault="005C4354" w:rsidP="005C435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val="uk-UA" w:eastAsia="zh-CN"/>
        </w:rPr>
      </w:pPr>
    </w:p>
    <w:p w:rsidR="00890D23" w:rsidRPr="00DF6F2F" w:rsidRDefault="005729F7" w:rsidP="005C4354">
      <w:pPr>
        <w:pStyle w:val="1"/>
        <w:spacing w:before="0"/>
        <w:jc w:val="center"/>
        <w:rPr>
          <w:rFonts w:eastAsia="Times New Roman"/>
          <w:lang w:val="uk-UA" w:eastAsia="zh-CN"/>
        </w:rPr>
      </w:pPr>
      <w:bookmarkStart w:id="6" w:name="_Toc216272075"/>
      <w:r w:rsidRPr="00DF6F2F">
        <w:rPr>
          <w:rFonts w:eastAsia="Times New Roman"/>
          <w:lang w:val="uk-UA" w:eastAsia="zh-CN"/>
        </w:rPr>
        <w:t xml:space="preserve">5. Ресурсне забезпечення </w:t>
      </w:r>
      <w:r w:rsidR="004607B0" w:rsidRPr="00DF6F2F">
        <w:rPr>
          <w:rFonts w:eastAsia="Times New Roman"/>
          <w:lang w:val="uk-UA" w:eastAsia="zh-CN"/>
        </w:rPr>
        <w:t>та джерел</w:t>
      </w:r>
      <w:r w:rsidR="00056242" w:rsidRPr="00DF6F2F">
        <w:rPr>
          <w:rFonts w:eastAsia="Times New Roman"/>
          <w:lang w:val="uk-UA" w:eastAsia="zh-CN"/>
        </w:rPr>
        <w:t>а</w:t>
      </w:r>
      <w:r w:rsidR="004607B0" w:rsidRPr="00DF6F2F">
        <w:rPr>
          <w:rFonts w:eastAsia="Times New Roman"/>
          <w:lang w:val="uk-UA" w:eastAsia="zh-CN"/>
        </w:rPr>
        <w:t xml:space="preserve"> фінансування </w:t>
      </w:r>
      <w:r w:rsidRPr="00DF6F2F">
        <w:rPr>
          <w:rFonts w:eastAsia="Times New Roman"/>
          <w:lang w:val="uk-UA" w:eastAsia="zh-CN"/>
        </w:rPr>
        <w:t>Програми</w:t>
      </w:r>
      <w:bookmarkEnd w:id="6"/>
    </w:p>
    <w:p w:rsidR="002479EB" w:rsidRPr="00DF6F2F" w:rsidRDefault="002479EB" w:rsidP="005C435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0"/>
          <w:szCs w:val="10"/>
          <w:lang w:val="uk-UA" w:eastAsia="zh-C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1670"/>
        <w:gridCol w:w="1627"/>
        <w:gridCol w:w="1630"/>
        <w:gridCol w:w="2037"/>
      </w:tblGrid>
      <w:tr w:rsidR="00ED340A" w:rsidRPr="00DF6F2F" w:rsidTr="00966ABD">
        <w:trPr>
          <w:jc w:val="center"/>
        </w:trPr>
        <w:tc>
          <w:tcPr>
            <w:tcW w:w="2327" w:type="dxa"/>
            <w:vMerge w:val="restart"/>
            <w:vAlign w:val="center"/>
          </w:tcPr>
          <w:p w:rsidR="00ED340A" w:rsidRPr="00DF6F2F" w:rsidRDefault="00ED340A" w:rsidP="005C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156" w:type="dxa"/>
            <w:gridSpan w:val="3"/>
            <w:vAlign w:val="center"/>
          </w:tcPr>
          <w:p w:rsidR="00ED340A" w:rsidRPr="00DF6F2F" w:rsidRDefault="00ED340A" w:rsidP="005C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Орієнтовний обсяг коштів, які залучаються на виконання Програми, тис. грн.</w:t>
            </w:r>
          </w:p>
        </w:tc>
        <w:tc>
          <w:tcPr>
            <w:tcW w:w="2087" w:type="dxa"/>
            <w:vMerge w:val="restart"/>
            <w:vAlign w:val="center"/>
          </w:tcPr>
          <w:p w:rsidR="00044B27" w:rsidRPr="00DF6F2F" w:rsidRDefault="00ED340A" w:rsidP="005C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на виконання Програми,</w:t>
            </w:r>
          </w:p>
          <w:p w:rsidR="00ED340A" w:rsidRPr="00DF6F2F" w:rsidRDefault="00ED340A" w:rsidP="005C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ED340A" w:rsidRPr="00DF6F2F" w:rsidTr="00966ABD">
        <w:trPr>
          <w:jc w:val="center"/>
        </w:trPr>
        <w:tc>
          <w:tcPr>
            <w:tcW w:w="2327" w:type="dxa"/>
            <w:vMerge/>
            <w:vAlign w:val="center"/>
          </w:tcPr>
          <w:p w:rsidR="00ED340A" w:rsidRPr="00DF6F2F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ED340A" w:rsidRPr="00DF6F2F" w:rsidRDefault="003F22B8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2025</w:t>
            </w:r>
            <w:r w:rsidR="002479EB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701" w:type="dxa"/>
          </w:tcPr>
          <w:p w:rsidR="00ED340A" w:rsidRPr="00DF6F2F" w:rsidRDefault="00ED340A" w:rsidP="003F22B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3F22B8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2479EB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705" w:type="dxa"/>
          </w:tcPr>
          <w:p w:rsidR="00ED340A" w:rsidRPr="00DF6F2F" w:rsidRDefault="00ED340A" w:rsidP="003F22B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3F22B8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2479EB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087" w:type="dxa"/>
            <w:vMerge/>
            <w:vAlign w:val="center"/>
          </w:tcPr>
          <w:p w:rsidR="00ED340A" w:rsidRPr="00DF6F2F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D340A" w:rsidRPr="00DF6F2F" w:rsidTr="00966ABD">
        <w:trPr>
          <w:jc w:val="center"/>
        </w:trPr>
        <w:tc>
          <w:tcPr>
            <w:tcW w:w="2327" w:type="dxa"/>
            <w:vAlign w:val="center"/>
          </w:tcPr>
          <w:p w:rsidR="00ED340A" w:rsidRPr="00DF6F2F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50" w:type="dxa"/>
            <w:vAlign w:val="center"/>
          </w:tcPr>
          <w:p w:rsidR="00ED340A" w:rsidRPr="00DF6F2F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ED340A" w:rsidRPr="00DF6F2F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05" w:type="dxa"/>
          </w:tcPr>
          <w:p w:rsidR="00ED340A" w:rsidRPr="00DF6F2F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87" w:type="dxa"/>
            <w:vAlign w:val="center"/>
          </w:tcPr>
          <w:p w:rsidR="00ED340A" w:rsidRPr="00DF6F2F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ED340A" w:rsidRPr="00DF6F2F" w:rsidTr="00966ABD">
        <w:trPr>
          <w:jc w:val="center"/>
        </w:trPr>
        <w:tc>
          <w:tcPr>
            <w:tcW w:w="2327" w:type="dxa"/>
          </w:tcPr>
          <w:p w:rsidR="00ED340A" w:rsidRPr="00DF6F2F" w:rsidRDefault="00904AA1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Великокучурівської </w:t>
            </w:r>
            <w:r w:rsidR="00ED340A"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1750" w:type="dxa"/>
            <w:vAlign w:val="center"/>
          </w:tcPr>
          <w:p w:rsidR="00ED340A" w:rsidRPr="00DF6F2F" w:rsidRDefault="003F22B8" w:rsidP="003F22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FD1447"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:rsidR="00ED340A" w:rsidRPr="00DF6F2F" w:rsidRDefault="00FD1447" w:rsidP="00966AB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3000</w:t>
            </w:r>
            <w:r w:rsidR="00044B27" w:rsidRPr="00DF6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5" w:type="dxa"/>
            <w:vAlign w:val="center"/>
          </w:tcPr>
          <w:p w:rsidR="00ED340A" w:rsidRPr="00DF6F2F" w:rsidRDefault="003F22B8" w:rsidP="003F22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FD1447"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087" w:type="dxa"/>
            <w:vAlign w:val="center"/>
          </w:tcPr>
          <w:p w:rsidR="00ED340A" w:rsidRPr="00DF6F2F" w:rsidRDefault="003F22B8" w:rsidP="00966AB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FD1447" w:rsidRPr="00DF6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000</w:t>
            </w:r>
            <w:r w:rsidR="00044B27" w:rsidRPr="00DF6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  <w:tr w:rsidR="00ED340A" w:rsidRPr="00DF6F2F" w:rsidTr="00966ABD">
        <w:trPr>
          <w:jc w:val="center"/>
        </w:trPr>
        <w:tc>
          <w:tcPr>
            <w:tcW w:w="2327" w:type="dxa"/>
          </w:tcPr>
          <w:p w:rsidR="00ED340A" w:rsidRPr="00DF6F2F" w:rsidRDefault="00ED340A" w:rsidP="00060E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Всього:</w:t>
            </w:r>
          </w:p>
        </w:tc>
        <w:tc>
          <w:tcPr>
            <w:tcW w:w="1750" w:type="dxa"/>
          </w:tcPr>
          <w:p w:rsidR="00ED340A" w:rsidRPr="00DF6F2F" w:rsidRDefault="003F22B8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FD1447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</w:tcPr>
          <w:p w:rsidR="00ED340A" w:rsidRPr="00DF6F2F" w:rsidRDefault="00FD1447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3000</w:t>
            </w:r>
            <w:r w:rsidR="00044B27" w:rsidRPr="00DF6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5" w:type="dxa"/>
          </w:tcPr>
          <w:p w:rsidR="00ED340A" w:rsidRPr="00DF6F2F" w:rsidRDefault="003F22B8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FD1447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2087" w:type="dxa"/>
          </w:tcPr>
          <w:p w:rsidR="00ED340A" w:rsidRPr="00DF6F2F" w:rsidRDefault="003F22B8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FD1447" w:rsidRPr="00DF6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000</w:t>
            </w:r>
            <w:r w:rsidR="00044B27" w:rsidRPr="00DF6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</w:tbl>
    <w:p w:rsidR="00ED340A" w:rsidRPr="00DF6F2F" w:rsidRDefault="00ED340A" w:rsidP="00ED340A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6A4805" w:rsidRPr="00DF6F2F" w:rsidRDefault="006A4805" w:rsidP="006A48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0A" w:rsidRPr="00DF6F2F" w:rsidRDefault="00ED340A" w:rsidP="00A40E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="00336974" w:rsidRPr="00DF6F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юджету </w:t>
      </w:r>
      <w:r w:rsidR="002C4E62"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Великокучурівської 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громади, а також інших джерел, не заборонених</w:t>
      </w:r>
      <w:r w:rsidR="00D14158"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 чинним 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t>законодавством.</w:t>
      </w:r>
    </w:p>
    <w:p w:rsidR="000A2EAA" w:rsidRPr="00DF6F2F" w:rsidRDefault="00ED340A" w:rsidP="00A40EA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обсяг фінансування Програми визначатиметься, виходячи з фінансової спроможності </w:t>
      </w:r>
      <w:r w:rsidR="00336974" w:rsidRPr="00DF6F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t>юджет</w:t>
      </w:r>
      <w:r w:rsidR="000A2EAA" w:rsidRPr="00DF6F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31B"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Великокучурівської 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на підставі обґрунтованих розрахунків, поданих виконавцями 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Програми.</w:t>
      </w:r>
      <w:r w:rsidR="0083031B"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F2F">
        <w:rPr>
          <w:rFonts w:ascii="Times New Roman" w:hAnsi="Times New Roman" w:cs="Times New Roman"/>
          <w:sz w:val="28"/>
          <w:szCs w:val="28"/>
          <w:lang w:val="uk-UA"/>
        </w:rPr>
        <w:t>Розпорядником</w:t>
      </w:r>
      <w:r w:rsidR="0083031B" w:rsidRPr="00DF6F2F">
        <w:rPr>
          <w:rFonts w:ascii="Times New Roman" w:hAnsi="Times New Roman" w:cs="Times New Roman"/>
          <w:sz w:val="28"/>
          <w:szCs w:val="28"/>
          <w:lang w:val="uk-UA"/>
        </w:rPr>
        <w:t xml:space="preserve"> коштів є Великокучурівська сільська </w:t>
      </w:r>
      <w:r w:rsidR="000A2EAA" w:rsidRPr="00DF6F2F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D03966" w:rsidRPr="00DF6F2F">
        <w:rPr>
          <w:rFonts w:ascii="Times New Roman" w:hAnsi="Times New Roman" w:cs="Times New Roman"/>
          <w:sz w:val="28"/>
          <w:szCs w:val="28"/>
          <w:lang w:val="uk-UA"/>
        </w:rPr>
        <w:t>, перерахунок субвенцій здійснюється через Фінансовий відділ Великокучурівської сільської ради</w:t>
      </w:r>
      <w:r w:rsidR="000A2EAA" w:rsidRPr="00DF6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2EAA" w:rsidRPr="00DF6F2F" w:rsidRDefault="000A2EAA" w:rsidP="00A40E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F2F">
        <w:rPr>
          <w:rFonts w:ascii="Times New Roman" w:hAnsi="Times New Roman" w:cs="Times New Roman"/>
          <w:sz w:val="28"/>
          <w:szCs w:val="28"/>
          <w:lang w:val="uk-UA"/>
        </w:rPr>
        <w:t>Обсяги фінансування, спрямовані на здійснення Програми, можуть перерозподілятися протягом бюджетного періоду</w:t>
      </w:r>
      <w:r w:rsidR="00C15EBE" w:rsidRPr="00DF6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340A" w:rsidRPr="00DF6F2F" w:rsidRDefault="00ED340A" w:rsidP="00C56BA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D340A" w:rsidRPr="00DF6F2F" w:rsidSect="009719E4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90D23" w:rsidRPr="00DF6F2F" w:rsidRDefault="00890D23" w:rsidP="003E6D40">
      <w:pPr>
        <w:pStyle w:val="1"/>
        <w:jc w:val="center"/>
        <w:rPr>
          <w:lang w:val="uk-UA"/>
        </w:rPr>
      </w:pPr>
      <w:bookmarkStart w:id="7" w:name="_Toc216272076"/>
      <w:r w:rsidRPr="00DF6F2F">
        <w:rPr>
          <w:lang w:val="uk-UA"/>
        </w:rPr>
        <w:lastRenderedPageBreak/>
        <w:t>6. Напрями діяльності та заходи Програми</w:t>
      </w:r>
      <w:bookmarkEnd w:id="7"/>
    </w:p>
    <w:p w:rsidR="00A53594" w:rsidRPr="00DF6F2F" w:rsidRDefault="00A53594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1843"/>
        <w:gridCol w:w="850"/>
        <w:gridCol w:w="851"/>
        <w:gridCol w:w="850"/>
        <w:gridCol w:w="851"/>
        <w:gridCol w:w="2409"/>
      </w:tblGrid>
      <w:tr w:rsidR="0099558D" w:rsidRPr="00DF6F2F" w:rsidTr="00044B27">
        <w:trPr>
          <w:trHeight w:val="664"/>
        </w:trPr>
        <w:tc>
          <w:tcPr>
            <w:tcW w:w="817" w:type="dxa"/>
            <w:vMerge w:val="restart"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AA7729" w:rsidRPr="00DF6F2F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напряму діяльності, заходи  </w:t>
            </w:r>
          </w:p>
        </w:tc>
        <w:tc>
          <w:tcPr>
            <w:tcW w:w="2410" w:type="dxa"/>
            <w:vMerge w:val="restart"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402" w:type="dxa"/>
            <w:gridSpan w:val="4"/>
            <w:vAlign w:val="center"/>
          </w:tcPr>
          <w:p w:rsidR="00AA7729" w:rsidRPr="00DF6F2F" w:rsidRDefault="00AA7729" w:rsidP="00B962D7">
            <w:pPr>
              <w:ind w:left="-113" w:right="-108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Прогнозовані витрати на реалізацію</w:t>
            </w:r>
            <w:r w:rsidR="00B962D7"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по роках</w:t>
            </w: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2409" w:type="dxa"/>
            <w:vMerge w:val="restart"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Очікуваний результат </w:t>
            </w:r>
          </w:p>
        </w:tc>
      </w:tr>
      <w:tr w:rsidR="0099558D" w:rsidRPr="00DF6F2F" w:rsidTr="00B962D7">
        <w:trPr>
          <w:cantSplit/>
          <w:trHeight w:val="1038"/>
        </w:trPr>
        <w:tc>
          <w:tcPr>
            <w:tcW w:w="817" w:type="dxa"/>
            <w:vMerge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A7729" w:rsidRPr="00DF6F2F" w:rsidRDefault="00AA7729" w:rsidP="00B962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DF6F2F" w:rsidRDefault="00AA7729" w:rsidP="00B962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EA226E"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962D7"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extDirection w:val="btLr"/>
            <w:vAlign w:val="center"/>
          </w:tcPr>
          <w:p w:rsidR="00AA7729" w:rsidRPr="00DF6F2F" w:rsidRDefault="00AA7729" w:rsidP="00B962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EA226E"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962D7"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DF6F2F" w:rsidRDefault="00AA7729" w:rsidP="00B962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EA226E"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962D7"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  <w:vMerge/>
            <w:vAlign w:val="center"/>
          </w:tcPr>
          <w:p w:rsidR="00AA7729" w:rsidRPr="00DF6F2F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:rsidR="0099558D" w:rsidRPr="00DF6F2F" w:rsidRDefault="002479EB" w:rsidP="00F13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Субвенція з місцевого бюджету державному б</w:t>
            </w:r>
            <w:r w:rsidR="0099558D" w:rsidRPr="00DF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юджету на</w:t>
            </w:r>
            <w:r w:rsidRPr="00DF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виконання програм соціально-економічного розвитку регіонів</w:t>
            </w:r>
            <w:r w:rsidR="00F13441" w:rsidRPr="00DF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а саме витрат пов’язаних</w:t>
            </w:r>
            <w:r w:rsidR="00044B27" w:rsidRPr="00DF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</w:t>
            </w:r>
            <w:r w:rsidRPr="00DF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зміцнення матеріально-технічної бази:      </w:t>
            </w:r>
          </w:p>
        </w:tc>
        <w:tc>
          <w:tcPr>
            <w:tcW w:w="2410" w:type="dxa"/>
            <w:vMerge w:val="restart"/>
          </w:tcPr>
          <w:p w:rsidR="0099558D" w:rsidRPr="00DF6F2F" w:rsidRDefault="007308D7" w:rsidP="00730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Великокучурівська сільська 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рада, військові частини, військові формування та установи Збройних Сил України, Н</w:t>
            </w:r>
            <w:r w:rsidR="002479EB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аціональна гвардія України, Д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ержавна прикордонна служба України</w:t>
            </w:r>
            <w:r w:rsidR="002479EB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інші військові формування</w:t>
            </w:r>
          </w:p>
        </w:tc>
        <w:tc>
          <w:tcPr>
            <w:tcW w:w="1843" w:type="dxa"/>
            <w:vMerge w:val="restart"/>
          </w:tcPr>
          <w:p w:rsidR="0099558D" w:rsidRPr="00DF6F2F" w:rsidRDefault="002479EB" w:rsidP="001F54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б</w:t>
            </w:r>
            <w:r w:rsidR="0099558D" w:rsidRPr="00DF6F2F">
              <w:rPr>
                <w:rFonts w:ascii="Times New Roman" w:hAnsi="Times New Roman" w:cs="Times New Roman"/>
                <w:lang w:val="uk-UA"/>
              </w:rPr>
              <w:t xml:space="preserve">юджет </w:t>
            </w:r>
            <w:r w:rsidR="001F5482" w:rsidRPr="00DF6F2F">
              <w:rPr>
                <w:rFonts w:ascii="Times New Roman" w:hAnsi="Times New Roman" w:cs="Times New Roman"/>
                <w:lang w:val="uk-UA"/>
              </w:rPr>
              <w:t>Великокучурівської</w:t>
            </w:r>
            <w:r w:rsidR="0099558D" w:rsidRPr="00DF6F2F">
              <w:rPr>
                <w:rFonts w:ascii="Times New Roman" w:hAnsi="Times New Roman" w:cs="Times New Roman"/>
                <w:lang w:val="uk-UA"/>
              </w:rPr>
              <w:t xml:space="preserve"> територіальної громади </w:t>
            </w:r>
          </w:p>
        </w:tc>
        <w:tc>
          <w:tcPr>
            <w:tcW w:w="850" w:type="dxa"/>
            <w:vMerge w:val="restart"/>
          </w:tcPr>
          <w:p w:rsidR="0099558D" w:rsidRPr="00DF6F2F" w:rsidRDefault="001F5482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99558D" w:rsidRPr="00DF6F2F">
              <w:rPr>
                <w:rFonts w:ascii="Times New Roman" w:hAnsi="Times New Roman" w:cs="Times New Roman"/>
                <w:b/>
                <w:lang w:val="uk-UA"/>
              </w:rPr>
              <w:t>000</w:t>
            </w:r>
            <w:r w:rsidR="00044B27" w:rsidRPr="00DF6F2F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851" w:type="dxa"/>
            <w:vMerge w:val="restart"/>
          </w:tcPr>
          <w:p w:rsidR="0099558D" w:rsidRPr="00DF6F2F" w:rsidRDefault="001F5482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18</w:t>
            </w:r>
            <w:r w:rsidR="0099558D" w:rsidRPr="00DF6F2F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0" w:type="dxa"/>
            <w:vMerge w:val="restart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3000</w:t>
            </w:r>
            <w:r w:rsidR="00044B27" w:rsidRPr="00DF6F2F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1" w:type="dxa"/>
            <w:vMerge w:val="restart"/>
          </w:tcPr>
          <w:p w:rsidR="0099558D" w:rsidRPr="00DF6F2F" w:rsidRDefault="001F5482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12</w:t>
            </w:r>
            <w:r w:rsidR="0099558D" w:rsidRPr="00DF6F2F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409" w:type="dxa"/>
            <w:vMerge w:val="restart"/>
          </w:tcPr>
          <w:p w:rsidR="00056242" w:rsidRPr="00DF6F2F" w:rsidRDefault="0099558D" w:rsidP="00056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Сприяння вирішенню питань за тими напрямами, де спос</w:t>
            </w:r>
            <w:r w:rsidR="002479EB" w:rsidRPr="00DF6F2F">
              <w:rPr>
                <w:rFonts w:ascii="Times New Roman" w:hAnsi="Times New Roman" w:cs="Times New Roman"/>
                <w:lang w:val="uk-UA"/>
              </w:rPr>
              <w:t>терігається дефіцит ресурсів з д</w:t>
            </w:r>
            <w:r w:rsidRPr="00DF6F2F">
              <w:rPr>
                <w:rFonts w:ascii="Times New Roman" w:hAnsi="Times New Roman" w:cs="Times New Roman"/>
                <w:lang w:val="uk-UA"/>
              </w:rPr>
              <w:t>ержавного бюджету, та в цілому</w:t>
            </w:r>
            <w:r w:rsidR="00C56BA2" w:rsidRPr="00DF6F2F">
              <w:rPr>
                <w:rFonts w:ascii="Times New Roman" w:hAnsi="Times New Roman" w:cs="Times New Roman"/>
                <w:lang w:val="uk-UA"/>
              </w:rPr>
              <w:t xml:space="preserve"> допоможе у проведені</w:t>
            </w:r>
            <w:r w:rsidRPr="00DF6F2F">
              <w:rPr>
                <w:rFonts w:ascii="Times New Roman" w:hAnsi="Times New Roman" w:cs="Times New Roman"/>
                <w:lang w:val="uk-UA"/>
              </w:rPr>
              <w:t xml:space="preserve"> на належному рівні виконання завдань </w:t>
            </w:r>
            <w:r w:rsidR="00056242" w:rsidRPr="00DF6F2F">
              <w:rPr>
                <w:rFonts w:ascii="Times New Roman" w:hAnsi="Times New Roman" w:cs="Times New Roman"/>
                <w:lang w:val="uk-UA"/>
              </w:rPr>
              <w:t>з</w:t>
            </w:r>
          </w:p>
          <w:p w:rsidR="00056242" w:rsidRPr="00DF6F2F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підвищення рівня функціонування, військових частин</w:t>
            </w:r>
            <w:r w:rsidR="00056242" w:rsidRPr="00DF6F2F">
              <w:rPr>
                <w:rFonts w:ascii="Times New Roman" w:hAnsi="Times New Roman" w:cs="Times New Roman"/>
                <w:lang w:val="uk-UA"/>
              </w:rPr>
              <w:t xml:space="preserve"> військових формувань та установ Збройних Сил України,</w:t>
            </w:r>
            <w:r w:rsidR="002479EB" w:rsidRPr="00DF6F2F">
              <w:rPr>
                <w:rFonts w:ascii="Times New Roman" w:hAnsi="Times New Roman" w:cs="Times New Roman"/>
                <w:lang w:val="uk-UA"/>
              </w:rPr>
              <w:t xml:space="preserve"> Національної гвардії України, Д</w:t>
            </w:r>
            <w:r w:rsidR="00056242" w:rsidRPr="00DF6F2F">
              <w:rPr>
                <w:rFonts w:ascii="Times New Roman" w:hAnsi="Times New Roman" w:cs="Times New Roman"/>
                <w:lang w:val="uk-UA"/>
              </w:rPr>
              <w:t xml:space="preserve">ержавної прикордонна служба </w:t>
            </w:r>
            <w:r w:rsidR="00056242" w:rsidRPr="00DF6F2F">
              <w:rPr>
                <w:rFonts w:ascii="Times New Roman" w:hAnsi="Times New Roman" w:cs="Times New Roman"/>
                <w:lang w:val="uk-UA"/>
              </w:rPr>
              <w:lastRenderedPageBreak/>
              <w:t>України</w:t>
            </w:r>
          </w:p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99558D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3969" w:type="dxa"/>
            <w:vAlign w:val="center"/>
          </w:tcPr>
          <w:p w:rsidR="0099558D" w:rsidRPr="00DF6F2F" w:rsidRDefault="00F13441" w:rsidP="00A535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поточних та/або капітальних ремонтних робіт будівель та споруд військових частин;</w:t>
            </w: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3441" w:rsidRPr="00DF6F2F" w:rsidTr="00044B27">
        <w:tc>
          <w:tcPr>
            <w:tcW w:w="817" w:type="dxa"/>
            <w:vAlign w:val="center"/>
          </w:tcPr>
          <w:p w:rsidR="00F13441" w:rsidRPr="00DF6F2F" w:rsidRDefault="00F13441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3969" w:type="dxa"/>
            <w:vAlign w:val="center"/>
          </w:tcPr>
          <w:p w:rsidR="00F13441" w:rsidRPr="00DF6F2F" w:rsidRDefault="00F13441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будівельних матеріалів та інструментів тощо для ремонту приміщень військових формувань;</w:t>
            </w:r>
          </w:p>
        </w:tc>
        <w:tc>
          <w:tcPr>
            <w:tcW w:w="2410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3441" w:rsidRPr="00DF6F2F" w:rsidTr="00044B27">
        <w:tc>
          <w:tcPr>
            <w:tcW w:w="817" w:type="dxa"/>
            <w:vAlign w:val="center"/>
          </w:tcPr>
          <w:p w:rsidR="00F13441" w:rsidRPr="00DF6F2F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  <w:r w:rsidR="00F13441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476028" w:rsidRPr="00DF6F2F" w:rsidRDefault="00F13441" w:rsidP="009719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ремонтних робіт ав</w:t>
            </w:r>
            <w:r w:rsidR="007D4A1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томобільного транспорту та іншої</w:t>
            </w: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техніки</w:t>
            </w:r>
            <w:r w:rsidR="007D4A1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обладнання</w:t>
            </w: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пошкодженої (зруйнованої) внаслідок бойових дій;</w:t>
            </w:r>
          </w:p>
        </w:tc>
        <w:tc>
          <w:tcPr>
            <w:tcW w:w="2410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F13441" w:rsidRPr="00DF6F2F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F13441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A53594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F6F2F" w:rsidRDefault="001C44A4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13441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ридбання</w:t>
            </w: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53594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автомобільного транспорту (легкових авто, </w:t>
            </w:r>
            <w:proofErr w:type="spellStart"/>
            <w:r w:rsidR="00A53594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кроссоверів</w:t>
            </w:r>
            <w:proofErr w:type="spellEnd"/>
            <w:r w:rsidR="00A53594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спецтехніки, тракторів, екскаваторів та механізмів інше), паливно-мастильних матеріалів та запасних частин до автомобілів й техніки, (АКБ, шини, інше), предметів, матеріалів, обладнання  та інвентарів; </w:t>
            </w: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1.5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F6F2F" w:rsidRDefault="00A53594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перевезення резервістів, військовозобов’язаних, призовників до місць проведення навчання;</w:t>
            </w:r>
          </w:p>
          <w:p w:rsidR="002B08A1" w:rsidRPr="00DF6F2F" w:rsidRDefault="002B08A1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F6F2F" w:rsidRDefault="00A53594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утримання, використання (в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ремонт</w:t>
            </w:r>
            <w:r w:rsidR="000F7B7E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у, оренди, комунальних послуг, зв’язку</w:t>
            </w: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 приміщень, обладнання, об’єктів матеріально-технічної бази;</w:t>
            </w:r>
          </w:p>
          <w:p w:rsidR="002B08A1" w:rsidRPr="00DF6F2F" w:rsidRDefault="002B08A1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594" w:rsidRPr="00DF6F2F" w:rsidTr="00044B27">
        <w:tc>
          <w:tcPr>
            <w:tcW w:w="817" w:type="dxa"/>
            <w:vAlign w:val="center"/>
          </w:tcPr>
          <w:p w:rsidR="00A53594" w:rsidRPr="00DF6F2F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3969" w:type="dxa"/>
            <w:vAlign w:val="center"/>
          </w:tcPr>
          <w:p w:rsidR="00A53594" w:rsidRPr="00DF6F2F" w:rsidRDefault="000F7B7E" w:rsidP="00C56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апаратів захищеного зв'язку, оргтехнікою, комп'ютерів, планшетів, моніторів та комплектуючих, технічних засобів захисту та програмного забезпечення тощо; </w:t>
            </w:r>
          </w:p>
        </w:tc>
        <w:tc>
          <w:tcPr>
            <w:tcW w:w="2410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594" w:rsidRPr="00DF6F2F" w:rsidTr="00044B27">
        <w:tc>
          <w:tcPr>
            <w:tcW w:w="817" w:type="dxa"/>
            <w:vAlign w:val="center"/>
          </w:tcPr>
          <w:p w:rsidR="00A53594" w:rsidRPr="00DF6F2F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3969" w:type="dxa"/>
            <w:vAlign w:val="center"/>
          </w:tcPr>
          <w:p w:rsidR="00476028" w:rsidRPr="00DF6F2F" w:rsidRDefault="000F7B7E" w:rsidP="002B0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канцелярського та іншого офісного приладдя, офісних меблів та обладнання</w:t>
            </w:r>
            <w:r w:rsidR="00A53594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410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A53594" w:rsidRPr="00DF6F2F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7B7E" w:rsidRPr="00DF6F2F" w:rsidTr="00044B27">
        <w:tc>
          <w:tcPr>
            <w:tcW w:w="817" w:type="dxa"/>
            <w:vAlign w:val="center"/>
          </w:tcPr>
          <w:p w:rsidR="000F7B7E" w:rsidRPr="00DF6F2F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1.9.</w:t>
            </w:r>
          </w:p>
        </w:tc>
        <w:tc>
          <w:tcPr>
            <w:tcW w:w="3969" w:type="dxa"/>
            <w:vAlign w:val="center"/>
          </w:tcPr>
          <w:p w:rsidR="000F7B7E" w:rsidRPr="00DF6F2F" w:rsidRDefault="000F7B7E" w:rsidP="004760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інженерного майна, обладнання та утримання місць зберігання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="007D4A1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,придбання</w:t>
            </w:r>
            <w:proofErr w:type="spellEnd"/>
            <w:r w:rsidR="007D4A1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сантехнічного обладнання та комплектуючих (труби, фаянс інше), електричного проводу, інших електророзподільних кабелів, електромонтажних матеріалів, обладнання та</w:t>
            </w:r>
            <w:r w:rsidR="0047602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комплектуючих, </w:t>
            </w:r>
            <w:r w:rsidR="007D4A1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елементів електри</w:t>
            </w:r>
            <w:r w:rsidR="0047602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чних схем, приладів освітлення, </w:t>
            </w:r>
            <w:r w:rsidR="007D4A1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матеріалів, обладнання  та інвентарів;</w:t>
            </w:r>
          </w:p>
        </w:tc>
        <w:tc>
          <w:tcPr>
            <w:tcW w:w="2410" w:type="dxa"/>
            <w:vMerge/>
            <w:vAlign w:val="center"/>
          </w:tcPr>
          <w:p w:rsidR="000F7B7E" w:rsidRPr="00DF6F2F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0F7B7E" w:rsidRPr="00DF6F2F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0F7B7E" w:rsidRPr="00DF6F2F" w:rsidRDefault="000F7B7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0F7B7E" w:rsidRPr="00DF6F2F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0F7B7E" w:rsidRPr="00DF6F2F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0F7B7E" w:rsidRPr="00DF6F2F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0F7B7E" w:rsidRPr="00DF6F2F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1.10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F6F2F" w:rsidRDefault="000F7B7E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засобів повсякденного вжитку, військового спорядженн</w:t>
            </w: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я, амуніції, технічних засобів, із забезпеченням базових потреб із харчування, </w:t>
            </w:r>
            <w:r w:rsidR="007D4A1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медикаментами та засобами медичного призначення, засобами індивідуального захисту, засобами гігієни, взуттям, комплектами одягу, засобами обігріву та приготування їжі (електроплитки, обігрівачі, буржуйки, газові балони)</w:t>
            </w:r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спальних ліжок, матраців, посуду в </w:t>
            </w:r>
            <w:proofErr w:type="spellStart"/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одноразового посуду, холодильних камер,</w:t>
            </w:r>
            <w:r w:rsidR="001C44A4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контейнерів для зберігання продуктів </w:t>
            </w:r>
            <w:proofErr w:type="spellStart"/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харчування,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</w:t>
            </w:r>
            <w:proofErr w:type="spellEnd"/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CC27DD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1.11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F6F2F" w:rsidRDefault="0078148D" w:rsidP="00CC2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та</w:t>
            </w:r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придбання </w:t>
            </w:r>
            <w:proofErr w:type="spellStart"/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флагштоків</w:t>
            </w:r>
            <w:proofErr w:type="spellEnd"/>
            <w:r w:rsidR="00CC27D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кріплень, комплектуючих, державної символіки тощо;</w:t>
            </w: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CC27DD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1.12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F6F2F" w:rsidRDefault="00CC27DD" w:rsidP="004760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радіостанцій (засобів радіозв'язку),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тепловізорів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тепловізійних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монокулярів), планшетів, моніторів, телевізорів, портативних джерел живлення, акумуляторних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батарей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бензинових генераторів,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квадрокоптерів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FPVдронів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антидронових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рушниць, відеокамер та супутніх товарів</w:t>
            </w:r>
            <w:r w:rsidR="0047602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7602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ємкостей</w:t>
            </w:r>
            <w:proofErr w:type="spellEnd"/>
            <w:r w:rsidR="00476028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зберігання паливно-мастильних матеріалів </w:t>
            </w: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DF6F2F" w:rsidTr="00044B27">
        <w:tc>
          <w:tcPr>
            <w:tcW w:w="817" w:type="dxa"/>
            <w:vAlign w:val="center"/>
          </w:tcPr>
          <w:p w:rsidR="0099558D" w:rsidRPr="00DF6F2F" w:rsidRDefault="00476028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1.13</w:t>
            </w:r>
            <w:r w:rsidR="0099558D"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F6F2F" w:rsidRDefault="00CC27DD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потреби згідно письмового подання (листа, звернення) військового командування.</w:t>
            </w:r>
          </w:p>
        </w:tc>
        <w:tc>
          <w:tcPr>
            <w:tcW w:w="241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F6F2F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546C" w:rsidRPr="00DF6F2F" w:rsidTr="00044B27">
        <w:tc>
          <w:tcPr>
            <w:tcW w:w="9039" w:type="dxa"/>
            <w:gridSpan w:val="4"/>
            <w:vAlign w:val="center"/>
          </w:tcPr>
          <w:p w:rsidR="0014546C" w:rsidRPr="00DF6F2F" w:rsidRDefault="0014546C" w:rsidP="00FC637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850" w:type="dxa"/>
            <w:vAlign w:val="center"/>
          </w:tcPr>
          <w:p w:rsidR="0014546C" w:rsidRPr="00DF6F2F" w:rsidRDefault="001C44A4" w:rsidP="00FC637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2F">
              <w:rPr>
                <w:rFonts w:ascii="Times New Roman" w:hAnsi="Times New Roman" w:cs="Times New Roman"/>
                <w:b/>
                <w:lang w:val="uk-UA"/>
              </w:rPr>
              <w:t>6000,0</w:t>
            </w:r>
          </w:p>
        </w:tc>
        <w:tc>
          <w:tcPr>
            <w:tcW w:w="851" w:type="dxa"/>
            <w:vAlign w:val="center"/>
          </w:tcPr>
          <w:p w:rsidR="0014546C" w:rsidRPr="00DF6F2F" w:rsidRDefault="001C44A4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18</w:t>
            </w:r>
            <w:r w:rsidR="0014546C" w:rsidRPr="00DF6F2F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0" w:type="dxa"/>
            <w:vAlign w:val="center"/>
          </w:tcPr>
          <w:p w:rsidR="0014546C" w:rsidRPr="00DF6F2F" w:rsidRDefault="0014546C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3000</w:t>
            </w:r>
            <w:r w:rsidR="00044B27" w:rsidRPr="00DF6F2F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14546C" w:rsidRPr="00DF6F2F" w:rsidRDefault="001C44A4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2F">
              <w:rPr>
                <w:rFonts w:ascii="Times New Roman" w:hAnsi="Times New Roman" w:cs="Times New Roman"/>
                <w:lang w:val="uk-UA"/>
              </w:rPr>
              <w:t>12</w:t>
            </w:r>
            <w:r w:rsidR="0014546C" w:rsidRPr="00DF6F2F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DF6F2F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409" w:type="dxa"/>
            <w:vAlign w:val="center"/>
          </w:tcPr>
          <w:p w:rsidR="0014546C" w:rsidRPr="00DF6F2F" w:rsidRDefault="0014546C" w:rsidP="00FC6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74C2E" w:rsidRPr="00DF6F2F" w:rsidRDefault="00874C2E" w:rsidP="00FD1447">
      <w:pPr>
        <w:rPr>
          <w:rFonts w:ascii="Times New Roman" w:hAnsi="Times New Roman" w:cs="Times New Roman"/>
          <w:sz w:val="28"/>
          <w:szCs w:val="28"/>
          <w:lang w:val="uk-UA"/>
        </w:rPr>
        <w:sectPr w:rsidR="00874C2E" w:rsidRPr="00DF6F2F" w:rsidSect="009719E4">
          <w:pgSz w:w="16838" w:h="11906" w:orient="landscape"/>
          <w:pgMar w:top="1560" w:right="1134" w:bottom="2410" w:left="1134" w:header="709" w:footer="709" w:gutter="0"/>
          <w:cols w:space="708"/>
          <w:docGrid w:linePitch="360"/>
        </w:sectPr>
      </w:pPr>
    </w:p>
    <w:p w:rsidR="00AA7729" w:rsidRPr="00DF6F2F" w:rsidRDefault="00A908B4" w:rsidP="002B08A1">
      <w:pPr>
        <w:pStyle w:val="1"/>
        <w:spacing w:before="0"/>
        <w:jc w:val="center"/>
        <w:rPr>
          <w:lang w:val="uk-UA"/>
        </w:rPr>
      </w:pPr>
      <w:bookmarkStart w:id="8" w:name="_Toc216272077"/>
      <w:r w:rsidRPr="00DF6F2F">
        <w:rPr>
          <w:lang w:val="uk-UA"/>
        </w:rPr>
        <w:lastRenderedPageBreak/>
        <w:t xml:space="preserve">7. Система управління та контролю за ходом </w:t>
      </w:r>
      <w:r w:rsidR="004B7073" w:rsidRPr="00DF6F2F">
        <w:rPr>
          <w:lang w:val="uk-UA"/>
        </w:rPr>
        <w:t>виконання Програми</w:t>
      </w:r>
      <w:bookmarkEnd w:id="8"/>
    </w:p>
    <w:p w:rsidR="002B08A1" w:rsidRPr="00DF6F2F" w:rsidRDefault="002B08A1" w:rsidP="002B08A1">
      <w:pPr>
        <w:spacing w:after="0"/>
        <w:rPr>
          <w:lang w:val="uk-UA"/>
        </w:rPr>
      </w:pPr>
    </w:p>
    <w:p w:rsidR="008B6DB3" w:rsidRPr="00DF6F2F" w:rsidRDefault="001F5482" w:rsidP="002B08A1">
      <w:pPr>
        <w:pStyle w:val="22"/>
        <w:shd w:val="clear" w:color="auto" w:fill="auto"/>
        <w:spacing w:before="0" w:line="240" w:lineRule="auto"/>
        <w:ind w:firstLine="426"/>
        <w:rPr>
          <w:lang w:val="uk-UA"/>
        </w:rPr>
      </w:pPr>
      <w:r w:rsidRPr="00DF6F2F">
        <w:rPr>
          <w:lang w:val="uk-UA"/>
        </w:rPr>
        <w:t>Великокучурівська сільська рада</w:t>
      </w:r>
      <w:r w:rsidR="008B6DB3" w:rsidRPr="00DF6F2F">
        <w:rPr>
          <w:lang w:val="uk-UA"/>
        </w:rPr>
        <w:t xml:space="preserve"> є відповідальним за </w:t>
      </w:r>
      <w:r w:rsidRPr="00DF6F2F">
        <w:rPr>
          <w:lang w:val="uk-UA"/>
        </w:rPr>
        <w:t xml:space="preserve">виконання запланованих заходів </w:t>
      </w:r>
      <w:r w:rsidR="008B6DB3" w:rsidRPr="00DF6F2F">
        <w:rPr>
          <w:lang w:val="uk-UA"/>
        </w:rPr>
        <w:t>Програм</w:t>
      </w:r>
      <w:r w:rsidRPr="00DF6F2F">
        <w:rPr>
          <w:lang w:val="uk-UA"/>
        </w:rPr>
        <w:t>и</w:t>
      </w:r>
      <w:r w:rsidR="008B6DB3" w:rsidRPr="00DF6F2F">
        <w:rPr>
          <w:lang w:val="uk-UA"/>
        </w:rPr>
        <w:t>, забезпечує їх реалізацію у повному обсязі і у визначені терміни.</w:t>
      </w:r>
    </w:p>
    <w:p w:rsidR="008B6DB3" w:rsidRPr="00DF6F2F" w:rsidRDefault="008B6DB3" w:rsidP="002B08A1">
      <w:pPr>
        <w:pStyle w:val="22"/>
        <w:shd w:val="clear" w:color="auto" w:fill="auto"/>
        <w:spacing w:before="0"/>
        <w:ind w:firstLine="426"/>
        <w:rPr>
          <w:lang w:val="uk-UA"/>
        </w:rPr>
      </w:pPr>
      <w:r w:rsidRPr="00DF6F2F">
        <w:rPr>
          <w:lang w:val="uk-UA"/>
        </w:rPr>
        <w:t>Контроль за ходом виконанням Програми здійснює постійна комісія з питань</w:t>
      </w:r>
      <w:r w:rsidR="001F5482" w:rsidRPr="00DF6F2F">
        <w:rPr>
          <w:rFonts w:cs="Times New Roman"/>
          <w:lang w:val="uk-UA"/>
        </w:rPr>
        <w:t xml:space="preserve"> планування, фінансів, бюджету, соціально-економічного розвитку</w:t>
      </w:r>
      <w:r w:rsidRPr="00DF6F2F">
        <w:rPr>
          <w:lang w:val="uk-UA"/>
        </w:rPr>
        <w:t>.</w:t>
      </w:r>
    </w:p>
    <w:p w:rsidR="008B6DB3" w:rsidRPr="00DF6F2F" w:rsidRDefault="001F5482" w:rsidP="002B08A1">
      <w:pPr>
        <w:pStyle w:val="22"/>
        <w:shd w:val="clear" w:color="auto" w:fill="auto"/>
        <w:spacing w:before="0"/>
        <w:ind w:firstLine="426"/>
        <w:rPr>
          <w:lang w:val="uk-UA"/>
        </w:rPr>
      </w:pPr>
      <w:r w:rsidRPr="00DF6F2F">
        <w:rPr>
          <w:lang w:val="uk-UA"/>
        </w:rPr>
        <w:t xml:space="preserve">Великокучурівська сільська рада </w:t>
      </w:r>
      <w:r w:rsidR="008B6DB3" w:rsidRPr="00DF6F2F">
        <w:rPr>
          <w:lang w:val="uk-UA"/>
        </w:rPr>
        <w:t>до 1 березня 202</w:t>
      </w:r>
      <w:r w:rsidRPr="00DF6F2F">
        <w:rPr>
          <w:lang w:val="uk-UA"/>
        </w:rPr>
        <w:t>6</w:t>
      </w:r>
      <w:r w:rsidR="00D2539F" w:rsidRPr="00DF6F2F">
        <w:rPr>
          <w:lang w:val="uk-UA"/>
        </w:rPr>
        <w:t>-</w:t>
      </w:r>
      <w:r w:rsidR="008B6DB3" w:rsidRPr="00DF6F2F">
        <w:rPr>
          <w:lang w:val="uk-UA"/>
        </w:rPr>
        <w:t>202</w:t>
      </w:r>
      <w:r w:rsidRPr="00DF6F2F">
        <w:rPr>
          <w:lang w:val="uk-UA"/>
        </w:rPr>
        <w:t>8</w:t>
      </w:r>
      <w:r w:rsidR="008B6DB3" w:rsidRPr="00DF6F2F">
        <w:rPr>
          <w:lang w:val="uk-UA"/>
        </w:rPr>
        <w:t xml:space="preserve"> років узагальнює, аналізує та подає інформацію про хід виконання Програми на розгляд постійної комісії ради з питань</w:t>
      </w:r>
      <w:r w:rsidR="00904AA1" w:rsidRPr="00DF6F2F">
        <w:rPr>
          <w:rFonts w:cs="Times New Roman"/>
          <w:lang w:val="uk-UA"/>
        </w:rPr>
        <w:t xml:space="preserve"> планування, фінансів, бюджету, соціально-економічного розвитку</w:t>
      </w:r>
      <w:r w:rsidR="008B6DB3" w:rsidRPr="00DF6F2F">
        <w:rPr>
          <w:lang w:val="uk-UA"/>
        </w:rPr>
        <w:t>. Постійна комісія заслуховує на своєму засіданні інформацію про хід виконання Програми та подає на розгляд сесії проект відповідного рішення.</w:t>
      </w:r>
    </w:p>
    <w:p w:rsidR="004B7073" w:rsidRPr="00DF6F2F" w:rsidRDefault="004B7073" w:rsidP="004B7073">
      <w:pPr>
        <w:pStyle w:val="aa"/>
        <w:ind w:firstLine="709"/>
        <w:contextualSpacing/>
        <w:jc w:val="both"/>
      </w:pPr>
    </w:p>
    <w:p w:rsidR="004B7073" w:rsidRPr="00DF6F2F" w:rsidRDefault="004B7073" w:rsidP="004B7073">
      <w:pPr>
        <w:pStyle w:val="aa"/>
        <w:ind w:firstLine="709"/>
        <w:contextualSpacing/>
        <w:jc w:val="both"/>
      </w:pPr>
    </w:p>
    <w:p w:rsidR="004B7073" w:rsidRPr="00DF6F2F" w:rsidRDefault="004B7073" w:rsidP="004B7073">
      <w:pPr>
        <w:rPr>
          <w:lang w:val="uk-UA"/>
        </w:rPr>
      </w:pPr>
    </w:p>
    <w:p w:rsidR="004B7073" w:rsidRPr="00DF6F2F" w:rsidRDefault="004B7073" w:rsidP="004B7073">
      <w:pPr>
        <w:rPr>
          <w:lang w:val="uk-UA"/>
        </w:rPr>
      </w:pPr>
    </w:p>
    <w:p w:rsidR="004B7073" w:rsidRPr="00DF6F2F" w:rsidRDefault="004B7073" w:rsidP="004B7073">
      <w:pPr>
        <w:rPr>
          <w:lang w:val="uk-UA"/>
        </w:rPr>
      </w:pPr>
    </w:p>
    <w:p w:rsidR="004B7073" w:rsidRPr="00DF6F2F" w:rsidRDefault="004B7073" w:rsidP="004B7073">
      <w:pPr>
        <w:rPr>
          <w:lang w:val="uk-UA"/>
        </w:rPr>
      </w:pPr>
    </w:p>
    <w:p w:rsidR="004B7073" w:rsidRPr="00DF6F2F" w:rsidRDefault="004B7073" w:rsidP="004B7073">
      <w:pPr>
        <w:rPr>
          <w:lang w:val="uk-UA"/>
        </w:rPr>
      </w:pPr>
    </w:p>
    <w:p w:rsidR="00890D23" w:rsidRPr="00DF6F2F" w:rsidRDefault="004B7073" w:rsidP="004B7073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F2F">
        <w:rPr>
          <w:lang w:val="uk-UA"/>
        </w:rPr>
        <w:tab/>
      </w:r>
      <w:bookmarkEnd w:id="0"/>
    </w:p>
    <w:sectPr w:rsidR="00890D23" w:rsidRPr="00DF6F2F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98" w:rsidRDefault="00EC3298" w:rsidP="00890D23">
      <w:pPr>
        <w:spacing w:after="0" w:line="240" w:lineRule="auto"/>
      </w:pPr>
      <w:r>
        <w:separator/>
      </w:r>
    </w:p>
  </w:endnote>
  <w:endnote w:type="continuationSeparator" w:id="0">
    <w:p w:rsidR="00EC3298" w:rsidRDefault="00EC3298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299370"/>
      <w:docPartObj>
        <w:docPartGallery w:val="Page Numbers (Bottom of Page)"/>
        <w:docPartUnique/>
      </w:docPartObj>
    </w:sdtPr>
    <w:sdtEndPr/>
    <w:sdtContent>
      <w:p w:rsidR="00890D23" w:rsidRDefault="0045383F">
        <w:pPr>
          <w:pStyle w:val="a8"/>
          <w:jc w:val="center"/>
        </w:pPr>
        <w:r>
          <w:rPr>
            <w:lang w:val="uk-UA"/>
          </w:rPr>
          <w:t xml:space="preserve"> </w:t>
        </w:r>
      </w:p>
    </w:sdtContent>
  </w:sdt>
  <w:p w:rsidR="00890D23" w:rsidRDefault="00890D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98" w:rsidRDefault="00EC3298" w:rsidP="00890D23">
      <w:pPr>
        <w:spacing w:after="0" w:line="240" w:lineRule="auto"/>
      </w:pPr>
      <w:r>
        <w:separator/>
      </w:r>
    </w:p>
  </w:footnote>
  <w:footnote w:type="continuationSeparator" w:id="0">
    <w:p w:rsidR="00EC3298" w:rsidRDefault="00EC3298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 w15:restartNumberingAfterBreak="0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7D2B"/>
    <w:multiLevelType w:val="hybridMultilevel"/>
    <w:tmpl w:val="4EF44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53A68"/>
    <w:multiLevelType w:val="hybridMultilevel"/>
    <w:tmpl w:val="EB024E10"/>
    <w:lvl w:ilvl="0" w:tplc="161A32A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0FC"/>
    <w:rsid w:val="00001D6C"/>
    <w:rsid w:val="00032DD2"/>
    <w:rsid w:val="00044B27"/>
    <w:rsid w:val="00056242"/>
    <w:rsid w:val="00060EBC"/>
    <w:rsid w:val="000610EB"/>
    <w:rsid w:val="00087E71"/>
    <w:rsid w:val="000A2EAA"/>
    <w:rsid w:val="000A5662"/>
    <w:rsid w:val="000D3D12"/>
    <w:rsid w:val="000E6883"/>
    <w:rsid w:val="000F7B7E"/>
    <w:rsid w:val="00112F30"/>
    <w:rsid w:val="00120AEA"/>
    <w:rsid w:val="001226B3"/>
    <w:rsid w:val="0014546C"/>
    <w:rsid w:val="00171D7A"/>
    <w:rsid w:val="00192837"/>
    <w:rsid w:val="00193089"/>
    <w:rsid w:val="001A2947"/>
    <w:rsid w:val="001A403D"/>
    <w:rsid w:val="001B2A37"/>
    <w:rsid w:val="001B6140"/>
    <w:rsid w:val="001B70FC"/>
    <w:rsid w:val="001C44A4"/>
    <w:rsid w:val="001D1F71"/>
    <w:rsid w:val="001E2A97"/>
    <w:rsid w:val="001F5482"/>
    <w:rsid w:val="00210930"/>
    <w:rsid w:val="002247B1"/>
    <w:rsid w:val="002429C4"/>
    <w:rsid w:val="002479EB"/>
    <w:rsid w:val="00254E5F"/>
    <w:rsid w:val="00274AB6"/>
    <w:rsid w:val="00276AD0"/>
    <w:rsid w:val="00296057"/>
    <w:rsid w:val="002B08A1"/>
    <w:rsid w:val="002C45C1"/>
    <w:rsid w:val="002C4E62"/>
    <w:rsid w:val="002C6D85"/>
    <w:rsid w:val="002D77FF"/>
    <w:rsid w:val="002F207F"/>
    <w:rsid w:val="002F34CE"/>
    <w:rsid w:val="0030662A"/>
    <w:rsid w:val="00322CF0"/>
    <w:rsid w:val="003322CB"/>
    <w:rsid w:val="00336974"/>
    <w:rsid w:val="003664DE"/>
    <w:rsid w:val="003815F9"/>
    <w:rsid w:val="00386971"/>
    <w:rsid w:val="00387DFD"/>
    <w:rsid w:val="003C3B20"/>
    <w:rsid w:val="003D5A1F"/>
    <w:rsid w:val="003E6D40"/>
    <w:rsid w:val="003F22B8"/>
    <w:rsid w:val="004516BF"/>
    <w:rsid w:val="0045383F"/>
    <w:rsid w:val="004607B0"/>
    <w:rsid w:val="004609F8"/>
    <w:rsid w:val="00476028"/>
    <w:rsid w:val="00487950"/>
    <w:rsid w:val="004A1743"/>
    <w:rsid w:val="004B2ECE"/>
    <w:rsid w:val="004B7073"/>
    <w:rsid w:val="004B77F8"/>
    <w:rsid w:val="004C17C3"/>
    <w:rsid w:val="004C38F2"/>
    <w:rsid w:val="004D1219"/>
    <w:rsid w:val="004F3AFC"/>
    <w:rsid w:val="005262F8"/>
    <w:rsid w:val="00536EC1"/>
    <w:rsid w:val="005729F7"/>
    <w:rsid w:val="00595678"/>
    <w:rsid w:val="005C4354"/>
    <w:rsid w:val="00616192"/>
    <w:rsid w:val="006238FC"/>
    <w:rsid w:val="0063122B"/>
    <w:rsid w:val="00646896"/>
    <w:rsid w:val="00652842"/>
    <w:rsid w:val="00655FE1"/>
    <w:rsid w:val="00661CD0"/>
    <w:rsid w:val="00680B72"/>
    <w:rsid w:val="00697BF7"/>
    <w:rsid w:val="006A0CA2"/>
    <w:rsid w:val="006A24D8"/>
    <w:rsid w:val="006A4805"/>
    <w:rsid w:val="006D5E68"/>
    <w:rsid w:val="006F5B57"/>
    <w:rsid w:val="00701DB7"/>
    <w:rsid w:val="00703D79"/>
    <w:rsid w:val="00707015"/>
    <w:rsid w:val="00716218"/>
    <w:rsid w:val="007308D7"/>
    <w:rsid w:val="00735DAF"/>
    <w:rsid w:val="00767C4A"/>
    <w:rsid w:val="0078148D"/>
    <w:rsid w:val="007B01D3"/>
    <w:rsid w:val="007B4DC1"/>
    <w:rsid w:val="007C0BF8"/>
    <w:rsid w:val="007D189D"/>
    <w:rsid w:val="007D31A2"/>
    <w:rsid w:val="007D4A18"/>
    <w:rsid w:val="007D5E9B"/>
    <w:rsid w:val="007F52AF"/>
    <w:rsid w:val="008048A4"/>
    <w:rsid w:val="008134CB"/>
    <w:rsid w:val="0083031B"/>
    <w:rsid w:val="0084398F"/>
    <w:rsid w:val="00854E3C"/>
    <w:rsid w:val="00874C2E"/>
    <w:rsid w:val="008767A5"/>
    <w:rsid w:val="00890D23"/>
    <w:rsid w:val="00896920"/>
    <w:rsid w:val="008A6855"/>
    <w:rsid w:val="008B6DB3"/>
    <w:rsid w:val="008D4FBB"/>
    <w:rsid w:val="008F2DE5"/>
    <w:rsid w:val="00904AA1"/>
    <w:rsid w:val="0091370E"/>
    <w:rsid w:val="00926E0B"/>
    <w:rsid w:val="00962DB6"/>
    <w:rsid w:val="00970927"/>
    <w:rsid w:val="009719E4"/>
    <w:rsid w:val="0099558D"/>
    <w:rsid w:val="009A2506"/>
    <w:rsid w:val="009B2643"/>
    <w:rsid w:val="009B3E38"/>
    <w:rsid w:val="009B5BB1"/>
    <w:rsid w:val="009C7E63"/>
    <w:rsid w:val="009F7184"/>
    <w:rsid w:val="00A017B2"/>
    <w:rsid w:val="00A40EA8"/>
    <w:rsid w:val="00A53594"/>
    <w:rsid w:val="00A57C41"/>
    <w:rsid w:val="00A75CFD"/>
    <w:rsid w:val="00A84B64"/>
    <w:rsid w:val="00A908B4"/>
    <w:rsid w:val="00A917F9"/>
    <w:rsid w:val="00A9668F"/>
    <w:rsid w:val="00AA7729"/>
    <w:rsid w:val="00AC2668"/>
    <w:rsid w:val="00AD5E9F"/>
    <w:rsid w:val="00AE4EF2"/>
    <w:rsid w:val="00AF3B8E"/>
    <w:rsid w:val="00B0209A"/>
    <w:rsid w:val="00B3010D"/>
    <w:rsid w:val="00B301B8"/>
    <w:rsid w:val="00B629AD"/>
    <w:rsid w:val="00B81980"/>
    <w:rsid w:val="00B92775"/>
    <w:rsid w:val="00B962D7"/>
    <w:rsid w:val="00BC32E6"/>
    <w:rsid w:val="00BC64BD"/>
    <w:rsid w:val="00BD1274"/>
    <w:rsid w:val="00BD6088"/>
    <w:rsid w:val="00C15EBE"/>
    <w:rsid w:val="00C4781F"/>
    <w:rsid w:val="00C53820"/>
    <w:rsid w:val="00C56BA2"/>
    <w:rsid w:val="00C87959"/>
    <w:rsid w:val="00CA3206"/>
    <w:rsid w:val="00CB19E7"/>
    <w:rsid w:val="00CC27DD"/>
    <w:rsid w:val="00CC656B"/>
    <w:rsid w:val="00CD4DC5"/>
    <w:rsid w:val="00D022E4"/>
    <w:rsid w:val="00D03966"/>
    <w:rsid w:val="00D12424"/>
    <w:rsid w:val="00D14158"/>
    <w:rsid w:val="00D2539F"/>
    <w:rsid w:val="00D3741F"/>
    <w:rsid w:val="00D45943"/>
    <w:rsid w:val="00D542A6"/>
    <w:rsid w:val="00D9676D"/>
    <w:rsid w:val="00DC171D"/>
    <w:rsid w:val="00DF6F2F"/>
    <w:rsid w:val="00E067CD"/>
    <w:rsid w:val="00E234C8"/>
    <w:rsid w:val="00E242B7"/>
    <w:rsid w:val="00E2450C"/>
    <w:rsid w:val="00E3789E"/>
    <w:rsid w:val="00E41781"/>
    <w:rsid w:val="00E56058"/>
    <w:rsid w:val="00E64365"/>
    <w:rsid w:val="00E76357"/>
    <w:rsid w:val="00E81821"/>
    <w:rsid w:val="00EA226E"/>
    <w:rsid w:val="00EA240B"/>
    <w:rsid w:val="00EC3298"/>
    <w:rsid w:val="00ED340A"/>
    <w:rsid w:val="00EF4C6E"/>
    <w:rsid w:val="00F13441"/>
    <w:rsid w:val="00F15A44"/>
    <w:rsid w:val="00F27FB1"/>
    <w:rsid w:val="00F95BF9"/>
    <w:rsid w:val="00FC1395"/>
    <w:rsid w:val="00FD1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AF6D"/>
  <w15:docId w15:val="{FA4B8949-178B-4ADF-A801-E16D1FD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0C"/>
  </w:style>
  <w:style w:type="paragraph" w:styleId="1">
    <w:name w:val="heading 1"/>
    <w:basedOn w:val="a"/>
    <w:next w:val="a"/>
    <w:link w:val="10"/>
    <w:uiPriority w:val="9"/>
    <w:qFormat/>
    <w:rsid w:val="0065284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2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и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1">
    <w:name w:val="Основной текст (2)_"/>
    <w:link w:val="22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basedOn w:val="a0"/>
    <w:rsid w:val="00703D7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styleId="ae">
    <w:name w:val="Subtitle"/>
    <w:basedOn w:val="a"/>
    <w:next w:val="a"/>
    <w:link w:val="af"/>
    <w:uiPriority w:val="11"/>
    <w:qFormat/>
    <w:rsid w:val="00652842"/>
    <w:pPr>
      <w:numPr>
        <w:ilvl w:val="1"/>
      </w:numPr>
    </w:pPr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af">
    <w:name w:val="Підзаголовок Знак"/>
    <w:basedOn w:val="a0"/>
    <w:link w:val="ae"/>
    <w:uiPriority w:val="11"/>
    <w:rsid w:val="00652842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5284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652842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652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52842"/>
    <w:pPr>
      <w:spacing w:after="100"/>
    </w:pPr>
  </w:style>
  <w:style w:type="character" w:styleId="af1">
    <w:name w:val="Hyperlink"/>
    <w:basedOn w:val="a0"/>
    <w:uiPriority w:val="99"/>
    <w:unhideWhenUsed/>
    <w:rsid w:val="00652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48D4-8DAB-4DD3-BA92-57817A28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12</Pages>
  <Words>9391</Words>
  <Characters>5353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NASTIA-VOS</cp:lastModifiedBy>
  <cp:revision>106</cp:revision>
  <cp:lastPrinted>2025-12-11T11:21:00Z</cp:lastPrinted>
  <dcterms:created xsi:type="dcterms:W3CDTF">2023-11-23T13:30:00Z</dcterms:created>
  <dcterms:modified xsi:type="dcterms:W3CDTF">2026-01-13T13:18:00Z</dcterms:modified>
</cp:coreProperties>
</file>